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89" w:rsidRPr="00FC688D" w:rsidRDefault="00296689" w:rsidP="00FC688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IU Health Methodist Hospitalists Conference:</w:t>
      </w:r>
      <w:r w:rsidR="00FC688D">
        <w:rPr>
          <w:rFonts w:cstheme="minorHAnsi"/>
          <w:sz w:val="20"/>
          <w:szCs w:val="20"/>
        </w:rPr>
        <w:t xml:space="preserve"> </w:t>
      </w:r>
      <w:r w:rsidRPr="00FC688D">
        <w:rPr>
          <w:rFonts w:cstheme="minorHAnsi"/>
          <w:sz w:val="20"/>
          <w:szCs w:val="20"/>
        </w:rPr>
        <w:t>Disparities in Obesity Care</w:t>
      </w:r>
    </w:p>
    <w:p w:rsidR="00296689" w:rsidRPr="00FC688D" w:rsidRDefault="00FC688D" w:rsidP="00296689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Presenter: </w:t>
      </w:r>
      <w:r w:rsidR="00296689" w:rsidRPr="00FC688D">
        <w:rPr>
          <w:rFonts w:cstheme="minorHAnsi"/>
          <w:sz w:val="20"/>
          <w:szCs w:val="20"/>
        </w:rPr>
        <w:t xml:space="preserve">Kavitha </w:t>
      </w:r>
      <w:proofErr w:type="spellStart"/>
      <w:r w:rsidR="00296689" w:rsidRPr="00FC688D">
        <w:rPr>
          <w:rFonts w:cstheme="minorHAnsi"/>
          <w:sz w:val="20"/>
          <w:szCs w:val="20"/>
        </w:rPr>
        <w:t>Subramoney</w:t>
      </w:r>
      <w:proofErr w:type="spellEnd"/>
      <w:r w:rsidR="00296689" w:rsidRPr="00FC688D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296689" w:rsidRPr="00FC688D">
        <w:rPr>
          <w:rFonts w:cstheme="minorHAnsi"/>
          <w:sz w:val="20"/>
          <w:szCs w:val="20"/>
        </w:rPr>
        <w:t>MD,FACP</w:t>
      </w:r>
      <w:proofErr w:type="gramEnd"/>
      <w:r w:rsidR="00296689" w:rsidRPr="00FC688D">
        <w:rPr>
          <w:rFonts w:cstheme="minorHAnsi"/>
          <w:sz w:val="20"/>
          <w:szCs w:val="20"/>
        </w:rPr>
        <w:t>,SHM,CHCQM,Dip</w:t>
      </w:r>
      <w:proofErr w:type="spellEnd"/>
      <w:r w:rsidR="00296689" w:rsidRPr="00FC688D">
        <w:rPr>
          <w:rFonts w:cstheme="minorHAnsi"/>
          <w:sz w:val="20"/>
          <w:szCs w:val="20"/>
        </w:rPr>
        <w:t xml:space="preserve"> ABOM</w:t>
      </w:r>
    </w:p>
    <w:p w:rsidR="00296689" w:rsidRPr="00FC688D" w:rsidRDefault="00296689" w:rsidP="0029668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F54A7" w:rsidRPr="00FC688D" w:rsidRDefault="00296689" w:rsidP="0029668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C688D">
        <w:rPr>
          <w:rFonts w:cstheme="minorHAnsi"/>
          <w:b/>
          <w:sz w:val="20"/>
          <w:szCs w:val="20"/>
        </w:rPr>
        <w:t>References</w:t>
      </w:r>
    </w:p>
    <w:p w:rsidR="00296689" w:rsidRDefault="00296689" w:rsidP="0029668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C688D">
        <w:rPr>
          <w:rFonts w:cstheme="minorHAnsi"/>
          <w:b/>
          <w:sz w:val="20"/>
          <w:szCs w:val="20"/>
        </w:rPr>
        <w:t>11.2</w:t>
      </w:r>
      <w:r w:rsidR="00AA24CF">
        <w:rPr>
          <w:rFonts w:cstheme="minorHAnsi"/>
          <w:b/>
          <w:sz w:val="20"/>
          <w:szCs w:val="20"/>
        </w:rPr>
        <w:t>4</w:t>
      </w:r>
      <w:r w:rsidRPr="00FC688D">
        <w:rPr>
          <w:rFonts w:cstheme="minorHAnsi"/>
          <w:b/>
          <w:sz w:val="20"/>
          <w:szCs w:val="20"/>
        </w:rPr>
        <w:t>.20</w:t>
      </w:r>
    </w:p>
    <w:p w:rsidR="00FC688D" w:rsidRPr="00FC688D" w:rsidRDefault="00FC688D" w:rsidP="0029668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Rebecca Kanter, Benjamin Caballero, Global Gender Disparities in Obesity: A Review, </w:t>
      </w:r>
      <w:r w:rsidRPr="00FC688D">
        <w:rPr>
          <w:rFonts w:cstheme="minorHAnsi"/>
          <w:i/>
          <w:iCs/>
          <w:sz w:val="20"/>
          <w:szCs w:val="20"/>
        </w:rPr>
        <w:t>Advances in Nutrition</w:t>
      </w:r>
      <w:r w:rsidRPr="00FC688D">
        <w:rPr>
          <w:rFonts w:cstheme="minorHAnsi"/>
          <w:sz w:val="20"/>
          <w:szCs w:val="20"/>
        </w:rPr>
        <w:t>, Volume 3, Issue 4, July 2012, Pages 491-498, </w:t>
      </w:r>
      <w:hyperlink r:id="rId5" w:history="1">
        <w:r w:rsidRPr="00FC688D">
          <w:rPr>
            <w:rStyle w:val="Hyperlink"/>
            <w:rFonts w:cstheme="minorHAnsi"/>
            <w:sz w:val="20"/>
            <w:szCs w:val="20"/>
          </w:rPr>
          <w:t>https://doi.org/10.3945/an.112.002063</w:t>
        </w:r>
      </w:hyperlink>
    </w:p>
    <w:p w:rsidR="00296689" w:rsidRPr="0056577B" w:rsidRDefault="00296689" w:rsidP="0056577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Myers, C.A., Slack, T., Martin, C.K., Broyles, S.T. and </w:t>
      </w:r>
      <w:proofErr w:type="spellStart"/>
      <w:r w:rsidRPr="00FC688D">
        <w:rPr>
          <w:rFonts w:cstheme="minorHAnsi"/>
          <w:sz w:val="20"/>
          <w:szCs w:val="20"/>
        </w:rPr>
        <w:t>Heymsfield</w:t>
      </w:r>
      <w:proofErr w:type="spellEnd"/>
      <w:r w:rsidRPr="00FC688D">
        <w:rPr>
          <w:rFonts w:cstheme="minorHAnsi"/>
          <w:sz w:val="20"/>
          <w:szCs w:val="20"/>
        </w:rPr>
        <w:t>, S.B. (2015), Regional disparities in obesity prevalence in the United States: A spatial regime analysis. Obesity, 23: 481</w:t>
      </w:r>
      <w:r w:rsidR="0056577B">
        <w:rPr>
          <w:rFonts w:cstheme="minorHAnsi"/>
          <w:sz w:val="20"/>
          <w:szCs w:val="20"/>
        </w:rPr>
        <w:t>-</w:t>
      </w:r>
      <w:r w:rsidRPr="00FC688D">
        <w:rPr>
          <w:rFonts w:cstheme="minorHAnsi"/>
          <w:sz w:val="20"/>
          <w:szCs w:val="20"/>
        </w:rPr>
        <w:t>487. </w:t>
      </w:r>
      <w:hyperlink r:id="rId6" w:history="1">
        <w:r w:rsidR="0056577B" w:rsidRPr="00D500F2">
          <w:rPr>
            <w:rStyle w:val="Hyperlink"/>
            <w:rFonts w:cstheme="minorHAnsi"/>
            <w:sz w:val="20"/>
            <w:szCs w:val="20"/>
          </w:rPr>
          <w:t>https://doi.org/10.1002/oby.20963</w:t>
        </w:r>
      </w:hyperlink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Cahnman</w:t>
      </w:r>
      <w:proofErr w:type="spellEnd"/>
      <w:r w:rsidRPr="00FC688D">
        <w:rPr>
          <w:rFonts w:cstheme="minorHAnsi"/>
          <w:sz w:val="20"/>
          <w:szCs w:val="20"/>
        </w:rPr>
        <w:t xml:space="preserve"> WJ. The stigma of obesity. </w:t>
      </w:r>
      <w:proofErr w:type="spellStart"/>
      <w:r w:rsidRPr="00FC688D">
        <w:rPr>
          <w:rFonts w:cstheme="minorHAnsi"/>
          <w:sz w:val="20"/>
          <w:szCs w:val="20"/>
        </w:rPr>
        <w:t>Sociol</w:t>
      </w:r>
      <w:proofErr w:type="spellEnd"/>
      <w:r w:rsidRPr="00FC688D">
        <w:rPr>
          <w:rFonts w:cstheme="minorHAnsi"/>
          <w:sz w:val="20"/>
          <w:szCs w:val="20"/>
        </w:rPr>
        <w:t xml:space="preserve"> Q 1968;</w:t>
      </w:r>
      <w:r w:rsidR="0056577B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FC688D">
        <w:rPr>
          <w:rFonts w:cstheme="minorHAnsi"/>
          <w:sz w:val="20"/>
          <w:szCs w:val="20"/>
        </w:rPr>
        <w:t>9:283–299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Molly Durkin. Doctor your weight bias is showing. ACP internist. Feb 2017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Puhl</w:t>
      </w:r>
      <w:proofErr w:type="spellEnd"/>
      <w:r w:rsidRPr="00FC688D">
        <w:rPr>
          <w:rFonts w:cstheme="minorHAnsi"/>
          <w:sz w:val="20"/>
          <w:szCs w:val="20"/>
        </w:rPr>
        <w:t xml:space="preserve"> RM, Heuer CA. Obesity stigma: important considerations for public health. </w:t>
      </w:r>
      <w:r w:rsidRPr="00FC688D">
        <w:rPr>
          <w:rFonts w:cstheme="minorHAnsi"/>
          <w:i/>
          <w:iCs/>
          <w:sz w:val="20"/>
          <w:szCs w:val="20"/>
        </w:rPr>
        <w:t>Am J Public Health</w:t>
      </w:r>
      <w:r w:rsidRPr="00FC688D">
        <w:rPr>
          <w:rFonts w:cstheme="minorHAnsi"/>
          <w:sz w:val="20"/>
          <w:szCs w:val="20"/>
        </w:rPr>
        <w:t>. 2010;100(6):1019-1028. doi:10.2105/AJPH.2009.159491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Ferrante JM, </w:t>
      </w:r>
      <w:proofErr w:type="spellStart"/>
      <w:r w:rsidRPr="00FC688D">
        <w:rPr>
          <w:rFonts w:cstheme="minorHAnsi"/>
          <w:sz w:val="20"/>
          <w:szCs w:val="20"/>
        </w:rPr>
        <w:t>Piasecki</w:t>
      </w:r>
      <w:proofErr w:type="spellEnd"/>
      <w:r w:rsidRPr="00FC688D">
        <w:rPr>
          <w:rFonts w:cstheme="minorHAnsi"/>
          <w:sz w:val="20"/>
          <w:szCs w:val="20"/>
        </w:rPr>
        <w:t xml:space="preserve"> AK, </w:t>
      </w:r>
      <w:proofErr w:type="spellStart"/>
      <w:r w:rsidRPr="00FC688D">
        <w:rPr>
          <w:rFonts w:cstheme="minorHAnsi"/>
          <w:sz w:val="20"/>
          <w:szCs w:val="20"/>
        </w:rPr>
        <w:t>Ohman</w:t>
      </w:r>
      <w:proofErr w:type="spellEnd"/>
      <w:r w:rsidRPr="00FC688D">
        <w:rPr>
          <w:rFonts w:cstheme="minorHAnsi"/>
          <w:sz w:val="20"/>
          <w:szCs w:val="20"/>
        </w:rPr>
        <w:t>‐Strickland PA, Crabtree BF. Family physicians' practices and attitudes regarding care of extremely obese patients. </w:t>
      </w:r>
      <w:r w:rsidRPr="00FC688D">
        <w:rPr>
          <w:rFonts w:cstheme="minorHAnsi"/>
          <w:i/>
          <w:iCs/>
          <w:sz w:val="20"/>
          <w:szCs w:val="20"/>
        </w:rPr>
        <w:t>Obesity (Silver Spring)</w:t>
      </w:r>
      <w:r w:rsidRPr="00FC688D">
        <w:rPr>
          <w:rFonts w:cstheme="minorHAnsi"/>
          <w:sz w:val="20"/>
          <w:szCs w:val="20"/>
        </w:rPr>
        <w:t> 2009; </w:t>
      </w:r>
      <w:r w:rsidRPr="00FC688D">
        <w:rPr>
          <w:rFonts w:cstheme="minorHAnsi"/>
          <w:b/>
          <w:bCs/>
          <w:sz w:val="20"/>
          <w:szCs w:val="20"/>
        </w:rPr>
        <w:t>17</w:t>
      </w:r>
      <w:r w:rsidRPr="00FC688D">
        <w:rPr>
          <w:rFonts w:cstheme="minorHAnsi"/>
          <w:sz w:val="20"/>
          <w:szCs w:val="20"/>
        </w:rPr>
        <w:t>: 1710‐ 1716.09; </w:t>
      </w:r>
      <w:r w:rsidRPr="00FC688D">
        <w:rPr>
          <w:rFonts w:cstheme="minorHAnsi"/>
          <w:b/>
          <w:bCs/>
          <w:sz w:val="20"/>
          <w:szCs w:val="20"/>
        </w:rPr>
        <w:t>17</w:t>
      </w:r>
      <w:r w:rsidRPr="00FC688D">
        <w:rPr>
          <w:rFonts w:cstheme="minorHAnsi"/>
          <w:sz w:val="20"/>
          <w:szCs w:val="20"/>
        </w:rPr>
        <w:t>: 1710‐ 1716.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Bocquier</w:t>
      </w:r>
      <w:proofErr w:type="spellEnd"/>
      <w:r w:rsidRPr="00FC688D">
        <w:rPr>
          <w:rFonts w:cstheme="minorHAnsi"/>
          <w:sz w:val="20"/>
          <w:szCs w:val="20"/>
        </w:rPr>
        <w:t xml:space="preserve"> A, Verger P, </w:t>
      </w:r>
      <w:proofErr w:type="spellStart"/>
      <w:r w:rsidRPr="00FC688D">
        <w:rPr>
          <w:rFonts w:cstheme="minorHAnsi"/>
          <w:sz w:val="20"/>
          <w:szCs w:val="20"/>
        </w:rPr>
        <w:t>Basdevant</w:t>
      </w:r>
      <w:proofErr w:type="spellEnd"/>
      <w:r w:rsidRPr="00FC688D">
        <w:rPr>
          <w:rFonts w:cstheme="minorHAnsi"/>
          <w:sz w:val="20"/>
          <w:szCs w:val="20"/>
        </w:rPr>
        <w:t xml:space="preserve"> A </w:t>
      </w:r>
      <w:r w:rsidRPr="00FC688D">
        <w:rPr>
          <w:rFonts w:cstheme="minorHAnsi"/>
          <w:i/>
          <w:iCs/>
          <w:sz w:val="20"/>
          <w:szCs w:val="20"/>
        </w:rPr>
        <w:t>et al.</w:t>
      </w:r>
      <w:r w:rsidRPr="00FC688D">
        <w:rPr>
          <w:rFonts w:cstheme="minorHAnsi"/>
          <w:sz w:val="20"/>
          <w:szCs w:val="20"/>
        </w:rPr>
        <w:t> Overweight and obesity: knowledge, attitudes, and practices of general practitioners in France. 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Obes</w:t>
      </w:r>
      <w:proofErr w:type="spellEnd"/>
      <w:r w:rsidRPr="00FC688D">
        <w:rPr>
          <w:rFonts w:cstheme="minorHAnsi"/>
          <w:i/>
          <w:iCs/>
          <w:sz w:val="20"/>
          <w:szCs w:val="20"/>
        </w:rPr>
        <w:t xml:space="preserve"> Res</w:t>
      </w:r>
      <w:r w:rsidRPr="00FC688D">
        <w:rPr>
          <w:rFonts w:cstheme="minorHAnsi"/>
          <w:sz w:val="20"/>
          <w:szCs w:val="20"/>
        </w:rPr>
        <w:t> 2005; </w:t>
      </w:r>
      <w:r w:rsidRPr="00FC688D">
        <w:rPr>
          <w:rFonts w:cstheme="minorHAnsi"/>
          <w:b/>
          <w:bCs/>
          <w:sz w:val="20"/>
          <w:szCs w:val="20"/>
        </w:rPr>
        <w:t>13</w:t>
      </w:r>
      <w:r w:rsidRPr="00FC688D">
        <w:rPr>
          <w:rFonts w:cstheme="minorHAnsi"/>
          <w:sz w:val="20"/>
          <w:szCs w:val="20"/>
        </w:rPr>
        <w:t>: 787– 795.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Rebecca M. </w:t>
      </w:r>
      <w:proofErr w:type="spellStart"/>
      <w:r w:rsidRPr="00FC688D">
        <w:rPr>
          <w:rFonts w:cstheme="minorHAnsi"/>
          <w:sz w:val="20"/>
          <w:szCs w:val="20"/>
        </w:rPr>
        <w:t>Puhl</w:t>
      </w:r>
      <w:proofErr w:type="spellEnd"/>
      <w:r w:rsidRPr="00FC688D">
        <w:rPr>
          <w:rFonts w:cstheme="minorHAnsi"/>
          <w:sz w:val="20"/>
          <w:szCs w:val="20"/>
        </w:rPr>
        <w:t xml:space="preserve"> and Chelsea A. Heuer, 2010: </w:t>
      </w:r>
      <w:hyperlink r:id="rId7" w:history="1">
        <w:r w:rsidRPr="00FC688D">
          <w:rPr>
            <w:rStyle w:val="Hyperlink"/>
            <w:rFonts w:cstheme="minorHAnsi"/>
            <w:b/>
            <w:bCs/>
            <w:sz w:val="20"/>
            <w:szCs w:val="20"/>
          </w:rPr>
          <w:t>Obesity Stigma: Important Considerations for Public Health</w:t>
        </w:r>
      </w:hyperlink>
      <w:r w:rsidRPr="00FC688D">
        <w:rPr>
          <w:rFonts w:cstheme="minorHAnsi"/>
          <w:sz w:val="20"/>
          <w:szCs w:val="20"/>
        </w:rPr>
        <w:t>. American Journal of Public Health </w:t>
      </w:r>
      <w:r w:rsidRPr="00FC688D">
        <w:rPr>
          <w:rFonts w:cstheme="minorHAnsi"/>
          <w:b/>
          <w:bCs/>
          <w:sz w:val="20"/>
          <w:szCs w:val="20"/>
        </w:rPr>
        <w:t>100</w:t>
      </w:r>
      <w:r w:rsidRPr="00FC688D">
        <w:rPr>
          <w:rFonts w:cstheme="minorHAnsi"/>
          <w:sz w:val="20"/>
          <w:szCs w:val="20"/>
        </w:rPr>
        <w:t>, 1019_1028,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 </w:t>
      </w:r>
      <w:proofErr w:type="spellStart"/>
      <w:r w:rsidRPr="00FC688D">
        <w:rPr>
          <w:rFonts w:cstheme="minorHAnsi"/>
          <w:sz w:val="20"/>
          <w:szCs w:val="20"/>
        </w:rPr>
        <w:t>Gudzune</w:t>
      </w:r>
      <w:proofErr w:type="spellEnd"/>
      <w:r w:rsidRPr="00FC688D">
        <w:rPr>
          <w:rFonts w:cstheme="minorHAnsi"/>
          <w:sz w:val="20"/>
          <w:szCs w:val="20"/>
        </w:rPr>
        <w:t xml:space="preserve"> KA, Beach MC, </w:t>
      </w:r>
      <w:proofErr w:type="spellStart"/>
      <w:r w:rsidRPr="00FC688D">
        <w:rPr>
          <w:rFonts w:cstheme="minorHAnsi"/>
          <w:sz w:val="20"/>
          <w:szCs w:val="20"/>
        </w:rPr>
        <w:t>Roter</w:t>
      </w:r>
      <w:proofErr w:type="spellEnd"/>
      <w:r w:rsidRPr="00FC688D">
        <w:rPr>
          <w:rFonts w:cstheme="minorHAnsi"/>
          <w:sz w:val="20"/>
          <w:szCs w:val="20"/>
        </w:rPr>
        <w:t xml:space="preserve"> DL, Cooper LA. Physicians build less rapport with obese patients. Obesity</w:t>
      </w:r>
      <w:r w:rsidRPr="00FC688D">
        <w:rPr>
          <w:rFonts w:cstheme="minorHAnsi"/>
          <w:sz w:val="20"/>
          <w:szCs w:val="20"/>
        </w:rPr>
        <w:t xml:space="preserve"> (Silver Spring) </w:t>
      </w:r>
      <w:proofErr w:type="gramStart"/>
      <w:r w:rsidRPr="00FC688D">
        <w:rPr>
          <w:rFonts w:cstheme="minorHAnsi"/>
          <w:sz w:val="20"/>
          <w:szCs w:val="20"/>
        </w:rPr>
        <w:t>2013;21:2146</w:t>
      </w:r>
      <w:proofErr w:type="gramEnd"/>
      <w:r w:rsidRPr="00FC688D">
        <w:rPr>
          <w:rFonts w:cstheme="minorHAnsi"/>
          <w:sz w:val="20"/>
          <w:szCs w:val="20"/>
        </w:rPr>
        <w:t>–2152.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Zolnierek</w:t>
      </w:r>
      <w:proofErr w:type="spellEnd"/>
      <w:r w:rsidRPr="00FC688D">
        <w:rPr>
          <w:rFonts w:cstheme="minorHAnsi"/>
          <w:sz w:val="20"/>
          <w:szCs w:val="20"/>
        </w:rPr>
        <w:t xml:space="preserve"> KB, </w:t>
      </w:r>
      <w:proofErr w:type="spellStart"/>
      <w:r w:rsidRPr="00FC688D">
        <w:rPr>
          <w:rFonts w:cstheme="minorHAnsi"/>
          <w:sz w:val="20"/>
          <w:szCs w:val="20"/>
        </w:rPr>
        <w:t>Dimatteo</w:t>
      </w:r>
      <w:proofErr w:type="spellEnd"/>
      <w:r w:rsidRPr="00FC688D">
        <w:rPr>
          <w:rFonts w:cstheme="minorHAnsi"/>
          <w:sz w:val="20"/>
          <w:szCs w:val="20"/>
        </w:rPr>
        <w:t xml:space="preserve"> MR. Physician communication and patient adherence to treatment: a meta-analysis. Med Care. </w:t>
      </w:r>
      <w:proofErr w:type="gramStart"/>
      <w:r w:rsidRPr="00FC688D">
        <w:rPr>
          <w:rFonts w:cstheme="minorHAnsi"/>
          <w:sz w:val="20"/>
          <w:szCs w:val="20"/>
        </w:rPr>
        <w:t>2009;47:826</w:t>
      </w:r>
      <w:proofErr w:type="gramEnd"/>
      <w:r w:rsidRPr="00FC688D">
        <w:rPr>
          <w:rFonts w:cstheme="minorHAnsi"/>
          <w:sz w:val="20"/>
          <w:szCs w:val="20"/>
        </w:rPr>
        <w:t>–834.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Huizinga MM, Bleich SN, Beach MC, Clark JM, Cooper LA. Disparity in physician perception of patients' adherence to medications by obesity status. Obesity (Silver Spring) </w:t>
      </w:r>
      <w:proofErr w:type="gramStart"/>
      <w:r w:rsidRPr="00FC688D">
        <w:rPr>
          <w:rFonts w:cstheme="minorHAnsi"/>
          <w:sz w:val="20"/>
          <w:szCs w:val="20"/>
        </w:rPr>
        <w:t>2010;18:1932</w:t>
      </w:r>
      <w:proofErr w:type="gramEnd"/>
      <w:r w:rsidRPr="00FC688D">
        <w:rPr>
          <w:rFonts w:cstheme="minorHAnsi"/>
          <w:sz w:val="20"/>
          <w:szCs w:val="20"/>
        </w:rPr>
        <w:t>–1937.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Hebl</w:t>
      </w:r>
      <w:proofErr w:type="spellEnd"/>
      <w:r w:rsidRPr="00FC688D">
        <w:rPr>
          <w:rFonts w:cstheme="minorHAnsi"/>
          <w:sz w:val="20"/>
          <w:szCs w:val="20"/>
        </w:rPr>
        <w:t xml:space="preserve"> MR, Xu J. Weighing the care: physicians' reactions to the size of a patient. Int J </w:t>
      </w:r>
      <w:proofErr w:type="spellStart"/>
      <w:r w:rsidRPr="00FC688D">
        <w:rPr>
          <w:rFonts w:cstheme="minorHAnsi"/>
          <w:sz w:val="20"/>
          <w:szCs w:val="20"/>
        </w:rPr>
        <w:t>Obes</w:t>
      </w:r>
      <w:proofErr w:type="spellEnd"/>
      <w:r w:rsidRPr="00FC688D">
        <w:rPr>
          <w:rFonts w:cstheme="minorHAnsi"/>
          <w:sz w:val="20"/>
          <w:szCs w:val="20"/>
        </w:rPr>
        <w:t xml:space="preserve"> </w:t>
      </w:r>
      <w:proofErr w:type="spellStart"/>
      <w:r w:rsidRPr="00FC688D">
        <w:rPr>
          <w:rFonts w:cstheme="minorHAnsi"/>
          <w:sz w:val="20"/>
          <w:szCs w:val="20"/>
        </w:rPr>
        <w:t>Relat</w:t>
      </w:r>
      <w:proofErr w:type="spellEnd"/>
      <w:r w:rsidRPr="00FC688D">
        <w:rPr>
          <w:rFonts w:cstheme="minorHAnsi"/>
          <w:sz w:val="20"/>
          <w:szCs w:val="20"/>
        </w:rPr>
        <w:t xml:space="preserve"> </w:t>
      </w:r>
      <w:proofErr w:type="spellStart"/>
      <w:r w:rsidRPr="00FC688D">
        <w:rPr>
          <w:rFonts w:cstheme="minorHAnsi"/>
          <w:sz w:val="20"/>
          <w:szCs w:val="20"/>
        </w:rPr>
        <w:t>Metab</w:t>
      </w:r>
      <w:proofErr w:type="spellEnd"/>
      <w:r w:rsidRPr="00FC688D">
        <w:rPr>
          <w:rFonts w:cstheme="minorHAnsi"/>
          <w:sz w:val="20"/>
          <w:szCs w:val="20"/>
        </w:rPr>
        <w:t xml:space="preserve"> </w:t>
      </w:r>
      <w:proofErr w:type="spellStart"/>
      <w:r w:rsidRPr="00FC688D">
        <w:rPr>
          <w:rFonts w:cstheme="minorHAnsi"/>
          <w:sz w:val="20"/>
          <w:szCs w:val="20"/>
        </w:rPr>
        <w:t>Disord</w:t>
      </w:r>
      <w:proofErr w:type="spellEnd"/>
      <w:r w:rsidRPr="00FC688D">
        <w:rPr>
          <w:rFonts w:cstheme="minorHAnsi"/>
          <w:sz w:val="20"/>
          <w:szCs w:val="20"/>
        </w:rPr>
        <w:t>. </w:t>
      </w:r>
      <w:proofErr w:type="gramStart"/>
      <w:r w:rsidRPr="00FC688D">
        <w:rPr>
          <w:rFonts w:cstheme="minorHAnsi"/>
          <w:sz w:val="20"/>
          <w:szCs w:val="20"/>
        </w:rPr>
        <w:t>2001;25:1246</w:t>
      </w:r>
      <w:proofErr w:type="gramEnd"/>
      <w:r w:rsidRPr="00FC688D">
        <w:rPr>
          <w:rFonts w:cstheme="minorHAnsi"/>
          <w:sz w:val="20"/>
          <w:szCs w:val="20"/>
        </w:rPr>
        <w:t>–1252. 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Muennig</w:t>
      </w:r>
      <w:proofErr w:type="spellEnd"/>
      <w:r w:rsidRPr="00FC688D">
        <w:rPr>
          <w:rFonts w:cstheme="minorHAnsi"/>
          <w:sz w:val="20"/>
          <w:szCs w:val="20"/>
        </w:rPr>
        <w:t xml:space="preserve"> P. The </w:t>
      </w:r>
      <w:r w:rsidRPr="00FC688D">
        <w:rPr>
          <w:rFonts w:cstheme="minorHAnsi"/>
          <w:sz w:val="20"/>
          <w:szCs w:val="20"/>
        </w:rPr>
        <w:t>body politic: the relationship between stigma and obesity-associated disease. BMC Public Health. </w:t>
      </w:r>
      <w:proofErr w:type="gramStart"/>
      <w:r w:rsidRPr="00FC688D">
        <w:rPr>
          <w:rFonts w:cstheme="minorHAnsi"/>
          <w:sz w:val="20"/>
          <w:szCs w:val="20"/>
        </w:rPr>
        <w:t>2008;8:128</w:t>
      </w:r>
      <w:proofErr w:type="gramEnd"/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Phelan SM, Burgess DJ, </w:t>
      </w:r>
      <w:proofErr w:type="spellStart"/>
      <w:r w:rsidRPr="00FC688D">
        <w:rPr>
          <w:rFonts w:cstheme="minorHAnsi"/>
          <w:sz w:val="20"/>
          <w:szCs w:val="20"/>
        </w:rPr>
        <w:t>Yeazel</w:t>
      </w:r>
      <w:proofErr w:type="spellEnd"/>
      <w:r w:rsidRPr="00FC688D">
        <w:rPr>
          <w:rFonts w:cstheme="minorHAnsi"/>
          <w:sz w:val="20"/>
          <w:szCs w:val="20"/>
        </w:rPr>
        <w:t xml:space="preserve"> MW, </w:t>
      </w:r>
      <w:proofErr w:type="spellStart"/>
      <w:r w:rsidRPr="00FC688D">
        <w:rPr>
          <w:rFonts w:cstheme="minorHAnsi"/>
          <w:sz w:val="20"/>
          <w:szCs w:val="20"/>
        </w:rPr>
        <w:t>Hellerstedt</w:t>
      </w:r>
      <w:proofErr w:type="spellEnd"/>
      <w:r w:rsidRPr="00FC688D">
        <w:rPr>
          <w:rFonts w:cstheme="minorHAnsi"/>
          <w:sz w:val="20"/>
          <w:szCs w:val="20"/>
        </w:rPr>
        <w:t xml:space="preserve"> WL, Griffin JM, van </w:t>
      </w:r>
      <w:proofErr w:type="spellStart"/>
      <w:r w:rsidRPr="00FC688D">
        <w:rPr>
          <w:rFonts w:cstheme="minorHAnsi"/>
          <w:sz w:val="20"/>
          <w:szCs w:val="20"/>
        </w:rPr>
        <w:t>Ryn</w:t>
      </w:r>
      <w:proofErr w:type="spellEnd"/>
      <w:r w:rsidRPr="00FC688D">
        <w:rPr>
          <w:rFonts w:cstheme="minorHAnsi"/>
          <w:sz w:val="20"/>
          <w:szCs w:val="20"/>
        </w:rPr>
        <w:t xml:space="preserve"> M. </w:t>
      </w:r>
      <w:r w:rsidRPr="00FC688D">
        <w:rPr>
          <w:rFonts w:cstheme="minorHAnsi"/>
          <w:sz w:val="20"/>
          <w:szCs w:val="20"/>
        </w:rPr>
        <w:t>Impact of weight bias and stigma on quality of care and outcomes for patients with obesity. 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Obes</w:t>
      </w:r>
      <w:proofErr w:type="spellEnd"/>
      <w:r w:rsidRPr="00FC688D">
        <w:rPr>
          <w:rFonts w:cstheme="minorHAnsi"/>
          <w:i/>
          <w:iCs/>
          <w:sz w:val="20"/>
          <w:szCs w:val="20"/>
        </w:rPr>
        <w:t xml:space="preserve"> Rev</w:t>
      </w:r>
      <w:r w:rsidRPr="00FC688D">
        <w:rPr>
          <w:rFonts w:cstheme="minorHAnsi"/>
          <w:sz w:val="20"/>
          <w:szCs w:val="20"/>
        </w:rPr>
        <w:t>. 2015;16(4):319-326. d</w:t>
      </w:r>
      <w:r w:rsidRPr="00FC688D">
        <w:rPr>
          <w:rFonts w:cstheme="minorHAnsi"/>
          <w:sz w:val="20"/>
          <w:szCs w:val="20"/>
        </w:rPr>
        <w:t>oi:10.1111/obr.12266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Reisin</w:t>
      </w:r>
      <w:proofErr w:type="spellEnd"/>
      <w:r w:rsidRPr="00FC688D">
        <w:rPr>
          <w:rFonts w:cstheme="minorHAnsi"/>
          <w:sz w:val="20"/>
          <w:szCs w:val="20"/>
        </w:rPr>
        <w:t xml:space="preserve"> E, Weir MR, Falkner B, Hutchinson HG, Anzalone DA, Tuck ML. Lisinopril versus hydrochlorothiazide in obese hypertensive patients: a multicenter placebo-controlled trial. Treatment in Obese Patients </w:t>
      </w:r>
      <w:proofErr w:type="gramStart"/>
      <w:r w:rsidRPr="00FC688D">
        <w:rPr>
          <w:rFonts w:cstheme="minorHAnsi"/>
          <w:sz w:val="20"/>
          <w:szCs w:val="20"/>
        </w:rPr>
        <w:t>With</w:t>
      </w:r>
      <w:proofErr w:type="gramEnd"/>
      <w:r w:rsidRPr="00FC688D">
        <w:rPr>
          <w:rFonts w:cstheme="minorHAnsi"/>
          <w:sz w:val="20"/>
          <w:szCs w:val="20"/>
        </w:rPr>
        <w:t xml:space="preserve"> Hypertension (TROPHY) Study Group. Hypertension. 1997 Jul;30(1 Pt 1):140-5. </w:t>
      </w:r>
      <w:proofErr w:type="spellStart"/>
      <w:r w:rsidRPr="00FC688D">
        <w:rPr>
          <w:rFonts w:cstheme="minorHAnsi"/>
          <w:sz w:val="20"/>
          <w:szCs w:val="20"/>
        </w:rPr>
        <w:t>doi</w:t>
      </w:r>
      <w:proofErr w:type="spellEnd"/>
      <w:r w:rsidRPr="00FC688D">
        <w:rPr>
          <w:rFonts w:cstheme="minorHAnsi"/>
          <w:sz w:val="20"/>
          <w:szCs w:val="20"/>
        </w:rPr>
        <w:t>: 10.1161/01.hyp.30.1.140. PMID: 9231834.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Barriers to the Treatment o</w:t>
      </w:r>
      <w:r w:rsidRPr="00FC688D">
        <w:rPr>
          <w:rFonts w:cstheme="minorHAnsi"/>
          <w:sz w:val="20"/>
          <w:szCs w:val="20"/>
        </w:rPr>
        <w:t>f Obesity. Annals of Internal Medicine </w:t>
      </w:r>
      <w:proofErr w:type="gramStart"/>
      <w:r w:rsidRPr="00FC688D">
        <w:rPr>
          <w:rFonts w:cstheme="minorHAnsi"/>
          <w:sz w:val="20"/>
          <w:szCs w:val="20"/>
        </w:rPr>
        <w:t>1991;115:152</w:t>
      </w:r>
      <w:proofErr w:type="gramEnd"/>
      <w:r w:rsidRPr="00FC688D">
        <w:rPr>
          <w:rFonts w:cstheme="minorHAnsi"/>
          <w:sz w:val="20"/>
          <w:szCs w:val="20"/>
        </w:rPr>
        <w:t>-153.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Jeffrey F. Barletta, </w:t>
      </w:r>
      <w:proofErr w:type="spellStart"/>
      <w:r w:rsidRPr="00FC688D">
        <w:rPr>
          <w:rFonts w:cstheme="minorHAnsi"/>
          <w:sz w:val="20"/>
          <w:szCs w:val="20"/>
        </w:rPr>
        <w:t>Jaculin</w:t>
      </w:r>
      <w:proofErr w:type="spellEnd"/>
      <w:r w:rsidRPr="00FC688D">
        <w:rPr>
          <w:rFonts w:cstheme="minorHAnsi"/>
          <w:sz w:val="20"/>
          <w:szCs w:val="20"/>
        </w:rPr>
        <w:t xml:space="preserve"> L. DeYoung et al. Limitations of a standardized weight-based nomogram for heparin dosing in patients wit</w:t>
      </w:r>
      <w:r w:rsidRPr="00FC688D">
        <w:rPr>
          <w:rFonts w:cstheme="minorHAnsi"/>
          <w:sz w:val="20"/>
          <w:szCs w:val="20"/>
        </w:rPr>
        <w:t xml:space="preserve">h morbid </w:t>
      </w:r>
      <w:proofErr w:type="spellStart"/>
      <w:proofErr w:type="gramStart"/>
      <w:r w:rsidRPr="00FC688D">
        <w:rPr>
          <w:rFonts w:cstheme="minorHAnsi"/>
          <w:sz w:val="20"/>
          <w:szCs w:val="20"/>
        </w:rPr>
        <w:t>obesity,Surgery</w:t>
      </w:r>
      <w:proofErr w:type="spellEnd"/>
      <w:proofErr w:type="gramEnd"/>
      <w:r w:rsidRPr="00FC688D">
        <w:rPr>
          <w:rFonts w:cstheme="minorHAnsi"/>
          <w:sz w:val="20"/>
          <w:szCs w:val="20"/>
        </w:rPr>
        <w:t xml:space="preserve"> for Obesity and Related </w:t>
      </w:r>
      <w:proofErr w:type="spellStart"/>
      <w:r w:rsidRPr="00FC688D">
        <w:rPr>
          <w:rFonts w:cstheme="minorHAnsi"/>
          <w:sz w:val="20"/>
          <w:szCs w:val="20"/>
        </w:rPr>
        <w:t>Diseases,Volume</w:t>
      </w:r>
      <w:proofErr w:type="spellEnd"/>
      <w:r w:rsidRPr="00FC688D">
        <w:rPr>
          <w:rFonts w:cstheme="minorHAnsi"/>
          <w:sz w:val="20"/>
          <w:szCs w:val="20"/>
        </w:rPr>
        <w:t xml:space="preserve"> 4, Issue 6,2008,Pages 748-753,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Stephan A. </w:t>
      </w:r>
      <w:proofErr w:type="spellStart"/>
      <w:r w:rsidRPr="00FC688D">
        <w:rPr>
          <w:rFonts w:cstheme="minorHAnsi"/>
          <w:sz w:val="20"/>
          <w:szCs w:val="20"/>
        </w:rPr>
        <w:t>Schug</w:t>
      </w:r>
      <w:proofErr w:type="spellEnd"/>
      <w:r w:rsidRPr="00FC688D">
        <w:rPr>
          <w:rFonts w:cstheme="minorHAnsi"/>
          <w:sz w:val="20"/>
          <w:szCs w:val="20"/>
        </w:rPr>
        <w:t xml:space="preserve">, Alexander </w:t>
      </w:r>
      <w:proofErr w:type="spellStart"/>
      <w:r w:rsidRPr="00FC688D">
        <w:rPr>
          <w:rFonts w:cstheme="minorHAnsi"/>
          <w:sz w:val="20"/>
          <w:szCs w:val="20"/>
        </w:rPr>
        <w:t>Raymann</w:t>
      </w:r>
      <w:proofErr w:type="spellEnd"/>
      <w:r w:rsidRPr="00FC688D">
        <w:rPr>
          <w:rFonts w:cstheme="minorHAnsi"/>
          <w:sz w:val="20"/>
          <w:szCs w:val="20"/>
        </w:rPr>
        <w:t xml:space="preserve">. Postoperative pain management of the obese </w:t>
      </w:r>
      <w:proofErr w:type="spellStart"/>
      <w:proofErr w:type="gramStart"/>
      <w:r w:rsidRPr="00FC688D">
        <w:rPr>
          <w:rFonts w:cstheme="minorHAnsi"/>
          <w:sz w:val="20"/>
          <w:szCs w:val="20"/>
        </w:rPr>
        <w:t>patient,Best</w:t>
      </w:r>
      <w:proofErr w:type="spellEnd"/>
      <w:proofErr w:type="gramEnd"/>
      <w:r w:rsidRPr="00FC688D">
        <w:rPr>
          <w:rFonts w:cstheme="minorHAnsi"/>
          <w:sz w:val="20"/>
          <w:szCs w:val="20"/>
        </w:rPr>
        <w:t xml:space="preserve"> P</w:t>
      </w:r>
      <w:r w:rsidRPr="00FC688D">
        <w:rPr>
          <w:rFonts w:cstheme="minorHAnsi"/>
          <w:sz w:val="20"/>
          <w:szCs w:val="20"/>
        </w:rPr>
        <w:t xml:space="preserve">ractice &amp; Research Clinical </w:t>
      </w:r>
      <w:proofErr w:type="spellStart"/>
      <w:r w:rsidRPr="00FC688D">
        <w:rPr>
          <w:rFonts w:cstheme="minorHAnsi"/>
          <w:sz w:val="20"/>
          <w:szCs w:val="20"/>
        </w:rPr>
        <w:t>Anaesthesiology</w:t>
      </w:r>
      <w:proofErr w:type="spellEnd"/>
      <w:r w:rsidRPr="00FC688D">
        <w:rPr>
          <w:rFonts w:cstheme="minorHAnsi"/>
          <w:sz w:val="20"/>
          <w:szCs w:val="20"/>
        </w:rPr>
        <w:t>, Volume 25, Issue 1,2011,Pages 73-81,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Humphreys S. The unethical use of BMI in contemporary general practice. </w:t>
      </w:r>
      <w:r w:rsidRPr="00FC688D">
        <w:rPr>
          <w:rFonts w:cstheme="minorHAnsi"/>
          <w:i/>
          <w:iCs/>
          <w:sz w:val="20"/>
          <w:szCs w:val="20"/>
        </w:rPr>
        <w:t xml:space="preserve">Br J Gen 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Pract</w:t>
      </w:r>
      <w:proofErr w:type="spellEnd"/>
      <w:r w:rsidRPr="00FC688D">
        <w:rPr>
          <w:rFonts w:cstheme="minorHAnsi"/>
          <w:sz w:val="20"/>
          <w:szCs w:val="20"/>
        </w:rPr>
        <w:t xml:space="preserve">. 2010;60(578):696-697. doi:10.3399/bjgp10X515548 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lastRenderedPageBreak/>
        <w:t xml:space="preserve">De Santo LS, </w:t>
      </w:r>
      <w:proofErr w:type="spellStart"/>
      <w:r w:rsidRPr="00FC688D">
        <w:rPr>
          <w:rFonts w:cstheme="minorHAnsi"/>
          <w:sz w:val="20"/>
          <w:szCs w:val="20"/>
        </w:rPr>
        <w:t>Moscariello</w:t>
      </w:r>
      <w:proofErr w:type="spellEnd"/>
      <w:r w:rsidRPr="00FC688D">
        <w:rPr>
          <w:rFonts w:cstheme="minorHAnsi"/>
          <w:sz w:val="20"/>
          <w:szCs w:val="20"/>
        </w:rPr>
        <w:t xml:space="preserve"> C, </w:t>
      </w:r>
      <w:proofErr w:type="spellStart"/>
      <w:r w:rsidRPr="00FC688D">
        <w:rPr>
          <w:rFonts w:cstheme="minorHAnsi"/>
          <w:sz w:val="20"/>
          <w:szCs w:val="20"/>
        </w:rPr>
        <w:t>Zebele</w:t>
      </w:r>
      <w:proofErr w:type="spellEnd"/>
      <w:r w:rsidRPr="00FC688D">
        <w:rPr>
          <w:rFonts w:cstheme="minorHAnsi"/>
          <w:sz w:val="20"/>
          <w:szCs w:val="20"/>
        </w:rPr>
        <w:t xml:space="preserve"> C. Implications of obesity in cardiac surgery: pattern of referral, physiopathology, complications, prognosis. </w:t>
      </w:r>
      <w:r w:rsidRPr="00FC688D">
        <w:rPr>
          <w:rFonts w:cstheme="minorHAnsi"/>
          <w:i/>
          <w:iCs/>
          <w:sz w:val="20"/>
          <w:szCs w:val="20"/>
        </w:rPr>
        <w:t xml:space="preserve">J 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Thorac</w:t>
      </w:r>
      <w:proofErr w:type="spellEnd"/>
      <w:r w:rsidRPr="00FC688D">
        <w:rPr>
          <w:rFonts w:cstheme="minorHAnsi"/>
          <w:i/>
          <w:iCs/>
          <w:sz w:val="20"/>
          <w:szCs w:val="20"/>
        </w:rPr>
        <w:t xml:space="preserve"> Dis</w:t>
      </w:r>
      <w:r w:rsidRPr="00FC688D">
        <w:rPr>
          <w:rFonts w:cstheme="minorHAnsi"/>
          <w:sz w:val="20"/>
          <w:szCs w:val="20"/>
        </w:rPr>
        <w:t>. 2018;10(7):4532-4539. doi:10.21037/jtd.2018.06.104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Uche </w:t>
      </w:r>
      <w:proofErr w:type="spellStart"/>
      <w:r w:rsidRPr="00FC688D">
        <w:rPr>
          <w:rFonts w:cstheme="minorHAnsi"/>
          <w:sz w:val="20"/>
          <w:szCs w:val="20"/>
        </w:rPr>
        <w:t>Ezeh</w:t>
      </w:r>
      <w:proofErr w:type="spellEnd"/>
      <w:r w:rsidRPr="00FC688D">
        <w:rPr>
          <w:rFonts w:cstheme="minorHAnsi"/>
          <w:sz w:val="20"/>
          <w:szCs w:val="20"/>
        </w:rPr>
        <w:t xml:space="preserve">, Bulent O. </w:t>
      </w:r>
      <w:proofErr w:type="spellStart"/>
      <w:r w:rsidRPr="00FC688D">
        <w:rPr>
          <w:rFonts w:cstheme="minorHAnsi"/>
          <w:sz w:val="20"/>
          <w:szCs w:val="20"/>
        </w:rPr>
        <w:t>Yildiz</w:t>
      </w:r>
      <w:proofErr w:type="spellEnd"/>
      <w:r w:rsidRPr="00FC688D">
        <w:rPr>
          <w:rFonts w:cstheme="minorHAnsi"/>
          <w:sz w:val="20"/>
          <w:szCs w:val="20"/>
        </w:rPr>
        <w:t xml:space="preserve">, Ricardo </w:t>
      </w:r>
      <w:proofErr w:type="spellStart"/>
      <w:r w:rsidRPr="00FC688D">
        <w:rPr>
          <w:rFonts w:cstheme="minorHAnsi"/>
          <w:sz w:val="20"/>
          <w:szCs w:val="20"/>
        </w:rPr>
        <w:t>Azziz</w:t>
      </w:r>
      <w:proofErr w:type="spellEnd"/>
      <w:r w:rsidRPr="00FC688D">
        <w:rPr>
          <w:rFonts w:cstheme="minorHAnsi"/>
          <w:sz w:val="20"/>
          <w:szCs w:val="20"/>
        </w:rPr>
        <w:t>, Referral Bias in Defining the Phenotype and Prevalence of Obesity in Polycystic Ovary Syndrome, </w:t>
      </w:r>
      <w:r w:rsidRPr="00FC688D">
        <w:rPr>
          <w:rFonts w:cstheme="minorHAnsi"/>
          <w:i/>
          <w:iCs/>
          <w:sz w:val="20"/>
          <w:szCs w:val="20"/>
        </w:rPr>
        <w:t>The Journal of Clinical Endocrinology &amp; Metabolism</w:t>
      </w:r>
      <w:r w:rsidRPr="00FC688D">
        <w:rPr>
          <w:rFonts w:cstheme="minorHAnsi"/>
          <w:sz w:val="20"/>
          <w:szCs w:val="20"/>
        </w:rPr>
        <w:t>, Volume 98, Issue 6, 1 June 2013, Pages E1088–E1096,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Cohen, S.S., Palmieri, R.T., </w:t>
      </w:r>
      <w:proofErr w:type="spellStart"/>
      <w:r w:rsidRPr="00FC688D">
        <w:rPr>
          <w:rFonts w:cstheme="minorHAnsi"/>
          <w:sz w:val="20"/>
          <w:szCs w:val="20"/>
        </w:rPr>
        <w:t>Nyante</w:t>
      </w:r>
      <w:proofErr w:type="spellEnd"/>
      <w:r w:rsidRPr="00FC688D">
        <w:rPr>
          <w:rFonts w:cstheme="minorHAnsi"/>
          <w:sz w:val="20"/>
          <w:szCs w:val="20"/>
        </w:rPr>
        <w:t xml:space="preserve">, S.J., </w:t>
      </w:r>
      <w:proofErr w:type="spellStart"/>
      <w:r w:rsidRPr="00FC688D">
        <w:rPr>
          <w:rFonts w:cstheme="minorHAnsi"/>
          <w:sz w:val="20"/>
          <w:szCs w:val="20"/>
        </w:rPr>
        <w:t>Koralek</w:t>
      </w:r>
      <w:proofErr w:type="spellEnd"/>
      <w:r w:rsidRPr="00FC688D">
        <w:rPr>
          <w:rFonts w:cstheme="minorHAnsi"/>
          <w:sz w:val="20"/>
          <w:szCs w:val="20"/>
        </w:rPr>
        <w:t>, D.O., Kim, S., Bradshaw, P. and Olshan, A.F. (2008), A review. Cancer, 112: 1892-1904. </w:t>
      </w:r>
      <w:hyperlink r:id="rId8" w:history="1">
        <w:r w:rsidRPr="00FC688D">
          <w:rPr>
            <w:rStyle w:val="Hyperlink"/>
            <w:rFonts w:cstheme="minorHAnsi"/>
            <w:sz w:val="20"/>
            <w:szCs w:val="20"/>
          </w:rPr>
          <w:t>https://</w:t>
        </w:r>
      </w:hyperlink>
      <w:hyperlink r:id="rId9" w:history="1">
        <w:r w:rsidRPr="00FC688D">
          <w:rPr>
            <w:rStyle w:val="Hyperlink"/>
            <w:rFonts w:cstheme="minorHAnsi"/>
            <w:sz w:val="20"/>
            <w:szCs w:val="20"/>
          </w:rPr>
          <w:t>doi.org/10.1002/cncr.23408</w:t>
        </w:r>
      </w:hyperlink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Ellen P. McCarthy, Roger B. Davis, Russell S. Phillips, et al. </w:t>
      </w:r>
      <w:hyperlink r:id="rId10" w:history="1">
        <w:r w:rsidRPr="00FC688D">
          <w:rPr>
            <w:rStyle w:val="Hyperlink"/>
            <w:rFonts w:cstheme="minorHAnsi"/>
            <w:sz w:val="20"/>
            <w:szCs w:val="20"/>
          </w:rPr>
          <w:t>Screening for Cervical and Breast Cancer: Is Obesity an Unrecognized Barrier to Preventive Care?</w:t>
        </w:r>
      </w:hyperlink>
      <w:r w:rsidRPr="00FC688D">
        <w:rPr>
          <w:rFonts w:cstheme="minorHAnsi"/>
          <w:sz w:val="20"/>
          <w:szCs w:val="20"/>
        </w:rPr>
        <w:t>. Annals of Internal Medicine </w:t>
      </w:r>
      <w:proofErr w:type="gramStart"/>
      <w:r w:rsidRPr="00FC688D">
        <w:rPr>
          <w:rFonts w:cstheme="minorHAnsi"/>
          <w:sz w:val="20"/>
          <w:szCs w:val="20"/>
        </w:rPr>
        <w:t>2000;132:697</w:t>
      </w:r>
      <w:proofErr w:type="gramEnd"/>
      <w:r w:rsidRPr="00FC688D">
        <w:rPr>
          <w:rFonts w:cstheme="minorHAnsi"/>
          <w:sz w:val="20"/>
          <w:szCs w:val="20"/>
        </w:rPr>
        <w:t>-704. [</w:t>
      </w:r>
      <w:proofErr w:type="spellStart"/>
      <w:r w:rsidRPr="00FC688D">
        <w:rPr>
          <w:rFonts w:cstheme="minorHAnsi"/>
          <w:sz w:val="20"/>
          <w:szCs w:val="20"/>
        </w:rPr>
        <w:t>Epub</w:t>
      </w:r>
      <w:proofErr w:type="spellEnd"/>
      <w:r w:rsidRPr="00FC688D">
        <w:rPr>
          <w:rFonts w:cstheme="minorHAnsi"/>
          <w:sz w:val="20"/>
          <w:szCs w:val="20"/>
        </w:rPr>
        <w:t xml:space="preserve"> ahead of print 2 May 2000]. doi:</w:t>
      </w:r>
      <w:hyperlink r:id="rId11" w:history="1">
        <w:r w:rsidRPr="00FC688D">
          <w:rPr>
            <w:rStyle w:val="Hyperlink"/>
            <w:rFonts w:cstheme="minorHAnsi"/>
            <w:sz w:val="20"/>
            <w:szCs w:val="20"/>
          </w:rPr>
          <w:t>https</w:t>
        </w:r>
      </w:hyperlink>
      <w:hyperlink r:id="rId12" w:history="1">
        <w:r w:rsidRPr="00FC688D">
          <w:rPr>
            <w:rStyle w:val="Hyperlink"/>
            <w:rFonts w:cstheme="minorHAnsi"/>
            <w:sz w:val="20"/>
            <w:szCs w:val="20"/>
          </w:rPr>
          <w:t>://doi.org/10.7326/0003-4819-132-9-200005020-00003</w:t>
        </w:r>
      </w:hyperlink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Olson </w:t>
      </w:r>
      <w:proofErr w:type="spellStart"/>
      <w:proofErr w:type="gramStart"/>
      <w:r w:rsidRPr="00FC688D">
        <w:rPr>
          <w:rFonts w:cstheme="minorHAnsi"/>
          <w:sz w:val="20"/>
          <w:szCs w:val="20"/>
        </w:rPr>
        <w:t>CL,Schumaker</w:t>
      </w:r>
      <w:proofErr w:type="spellEnd"/>
      <w:proofErr w:type="gramEnd"/>
      <w:r w:rsidRPr="00FC688D">
        <w:rPr>
          <w:rFonts w:cstheme="minorHAnsi"/>
          <w:sz w:val="20"/>
          <w:szCs w:val="20"/>
        </w:rPr>
        <w:t xml:space="preserve"> </w:t>
      </w:r>
      <w:proofErr w:type="spellStart"/>
      <w:r w:rsidRPr="00FC688D">
        <w:rPr>
          <w:rFonts w:cstheme="minorHAnsi"/>
          <w:sz w:val="20"/>
          <w:szCs w:val="20"/>
        </w:rPr>
        <w:t>HD,Yawn</w:t>
      </w:r>
      <w:proofErr w:type="spellEnd"/>
      <w:r w:rsidRPr="00FC688D">
        <w:rPr>
          <w:rFonts w:cstheme="minorHAnsi"/>
          <w:sz w:val="20"/>
          <w:szCs w:val="20"/>
        </w:rPr>
        <w:t xml:space="preserve"> BP. Overweight women delay medical care. </w:t>
      </w:r>
      <w:r w:rsidRPr="00FC688D">
        <w:rPr>
          <w:rFonts w:cstheme="minorHAnsi"/>
          <w:i/>
          <w:iCs/>
          <w:sz w:val="20"/>
          <w:szCs w:val="20"/>
        </w:rPr>
        <w:t>Arch Fam Med.</w:t>
      </w:r>
      <w:r w:rsidRPr="00FC688D">
        <w:rPr>
          <w:rFonts w:cstheme="minorHAnsi"/>
          <w:sz w:val="20"/>
          <w:szCs w:val="20"/>
        </w:rPr>
        <w:t> 1994; </w:t>
      </w:r>
      <w:r w:rsidRPr="00FC688D">
        <w:rPr>
          <w:rFonts w:cstheme="minorHAnsi"/>
          <w:b/>
          <w:bCs/>
          <w:sz w:val="20"/>
          <w:szCs w:val="20"/>
        </w:rPr>
        <w:t>3</w:t>
      </w:r>
      <w:r w:rsidRPr="00FC688D">
        <w:rPr>
          <w:rFonts w:cstheme="minorHAnsi"/>
          <w:sz w:val="20"/>
          <w:szCs w:val="20"/>
        </w:rPr>
        <w:t>: 888– 892.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Georgia </w:t>
      </w:r>
      <w:proofErr w:type="spellStart"/>
      <w:r w:rsidRPr="00FC688D">
        <w:rPr>
          <w:rFonts w:cstheme="minorHAnsi"/>
          <w:sz w:val="20"/>
          <w:szCs w:val="20"/>
        </w:rPr>
        <w:t>Rigas</w:t>
      </w:r>
      <w:proofErr w:type="spellEnd"/>
      <w:r w:rsidRPr="00FC688D">
        <w:rPr>
          <w:rFonts w:cstheme="minorHAnsi"/>
          <w:sz w:val="20"/>
          <w:szCs w:val="20"/>
        </w:rPr>
        <w:t xml:space="preserve">, Kathryn Williams, Priya </w:t>
      </w:r>
      <w:proofErr w:type="spellStart"/>
      <w:r w:rsidRPr="00FC688D">
        <w:rPr>
          <w:rFonts w:cstheme="minorHAnsi"/>
          <w:sz w:val="20"/>
          <w:szCs w:val="20"/>
        </w:rPr>
        <w:t>Sumithran</w:t>
      </w:r>
      <w:proofErr w:type="spellEnd"/>
      <w:r w:rsidRPr="00FC688D">
        <w:rPr>
          <w:rFonts w:cstheme="minorHAnsi"/>
          <w:sz w:val="20"/>
          <w:szCs w:val="20"/>
        </w:rPr>
        <w:t xml:space="preserve">, Wendy A. Brown, Jessica </w:t>
      </w:r>
      <w:proofErr w:type="spellStart"/>
      <w:r w:rsidRPr="00FC688D">
        <w:rPr>
          <w:rFonts w:cstheme="minorHAnsi"/>
          <w:sz w:val="20"/>
          <w:szCs w:val="20"/>
        </w:rPr>
        <w:t>Swinbourne</w:t>
      </w:r>
      <w:proofErr w:type="spellEnd"/>
      <w:r w:rsidRPr="00FC688D">
        <w:rPr>
          <w:rFonts w:cstheme="minorHAnsi"/>
          <w:sz w:val="20"/>
          <w:szCs w:val="20"/>
        </w:rPr>
        <w:t xml:space="preserve">, Katrina Purcell, Ian D. </w:t>
      </w:r>
      <w:proofErr w:type="spellStart"/>
      <w:r w:rsidRPr="00FC688D">
        <w:rPr>
          <w:rFonts w:cstheme="minorHAnsi"/>
          <w:sz w:val="20"/>
          <w:szCs w:val="20"/>
        </w:rPr>
        <w:t>Caterson</w:t>
      </w:r>
      <w:proofErr w:type="spellEnd"/>
      <w:r w:rsidRPr="00FC688D">
        <w:rPr>
          <w:rFonts w:cstheme="minorHAnsi"/>
          <w:sz w:val="20"/>
          <w:szCs w:val="20"/>
        </w:rPr>
        <w:t xml:space="preserve">. Delays in healthcare consultations about obesity — Barriers and </w:t>
      </w:r>
      <w:proofErr w:type="spellStart"/>
      <w:proofErr w:type="gramStart"/>
      <w:r w:rsidRPr="00FC688D">
        <w:rPr>
          <w:rFonts w:cstheme="minorHAnsi"/>
          <w:sz w:val="20"/>
          <w:szCs w:val="20"/>
        </w:rPr>
        <w:t>implications,Obesity</w:t>
      </w:r>
      <w:proofErr w:type="spellEnd"/>
      <w:proofErr w:type="gramEnd"/>
      <w:r w:rsidRPr="00FC688D">
        <w:rPr>
          <w:rFonts w:cstheme="minorHAnsi"/>
          <w:sz w:val="20"/>
          <w:szCs w:val="20"/>
        </w:rPr>
        <w:t xml:space="preserve"> Research &amp; Clinical </w:t>
      </w:r>
      <w:proofErr w:type="spellStart"/>
      <w:r w:rsidRPr="00FC688D">
        <w:rPr>
          <w:rFonts w:cstheme="minorHAnsi"/>
          <w:sz w:val="20"/>
          <w:szCs w:val="20"/>
        </w:rPr>
        <w:t>Practice,Volume</w:t>
      </w:r>
      <w:proofErr w:type="spellEnd"/>
      <w:r w:rsidRPr="00FC688D">
        <w:rPr>
          <w:rFonts w:cstheme="minorHAnsi"/>
          <w:sz w:val="20"/>
          <w:szCs w:val="20"/>
        </w:rPr>
        <w:t xml:space="preserve"> 14, Issue 5,2020,Pages 487-490,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Sheri </w:t>
      </w:r>
      <w:proofErr w:type="spellStart"/>
      <w:r w:rsidRPr="00FC688D">
        <w:rPr>
          <w:rFonts w:cstheme="minorHAnsi"/>
          <w:sz w:val="20"/>
          <w:szCs w:val="20"/>
        </w:rPr>
        <w:t>Polley</w:t>
      </w:r>
      <w:proofErr w:type="spellEnd"/>
      <w:r w:rsidRPr="00FC688D">
        <w:rPr>
          <w:rFonts w:cstheme="minorHAnsi"/>
          <w:sz w:val="20"/>
          <w:szCs w:val="20"/>
        </w:rPr>
        <w:t xml:space="preserve">. The Obesity problem in US Hospitals. The Hospitalist. August 2006(8). 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Silk AW, McTigue KM. Reexamining the Physical Examination for Obese Patients. </w:t>
      </w:r>
      <w:r w:rsidRPr="00FC688D">
        <w:rPr>
          <w:rFonts w:cstheme="minorHAnsi"/>
          <w:i/>
          <w:iCs/>
          <w:sz w:val="20"/>
          <w:szCs w:val="20"/>
        </w:rPr>
        <w:t>JAMA.</w:t>
      </w:r>
      <w:r w:rsidRPr="00FC688D">
        <w:rPr>
          <w:rFonts w:cstheme="minorHAnsi"/>
          <w:sz w:val="20"/>
          <w:szCs w:val="20"/>
        </w:rPr>
        <w:t> 2011;305(2):193–194. doi:10.1001/jama.2010.1950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MARTINHO, F.L. et al. Systematic head and neck physical examination as a predictor of obstructive sleep apnea in class III obese patients.</w:t>
      </w:r>
      <w:r w:rsidRPr="00FC688D">
        <w:rPr>
          <w:rFonts w:cstheme="minorHAnsi"/>
          <w:i/>
          <w:iCs/>
          <w:sz w:val="20"/>
          <w:szCs w:val="20"/>
        </w:rPr>
        <w:t> 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Braz</w:t>
      </w:r>
      <w:proofErr w:type="spellEnd"/>
      <w:r w:rsidRPr="00FC688D">
        <w:rPr>
          <w:rFonts w:cstheme="minorHAnsi"/>
          <w:i/>
          <w:iCs/>
          <w:sz w:val="20"/>
          <w:szCs w:val="20"/>
        </w:rPr>
        <w:t xml:space="preserve"> J Med Biol Res</w:t>
      </w:r>
      <w:r w:rsidRPr="00FC688D">
        <w:rPr>
          <w:rFonts w:cstheme="minorHAnsi"/>
          <w:sz w:val="20"/>
          <w:szCs w:val="20"/>
        </w:rPr>
        <w:t> [online]. 2008, vol.41, n.12 [</w:t>
      </w:r>
      <w:proofErr w:type="gramStart"/>
      <w:r w:rsidRPr="00FC688D">
        <w:rPr>
          <w:rFonts w:cstheme="minorHAnsi"/>
          <w:sz w:val="20"/>
          <w:szCs w:val="20"/>
        </w:rPr>
        <w:t>cited  2020</w:t>
      </w:r>
      <w:proofErr w:type="gramEnd"/>
      <w:r w:rsidRPr="00FC688D">
        <w:rPr>
          <w:rFonts w:cstheme="minorHAnsi"/>
          <w:sz w:val="20"/>
          <w:szCs w:val="20"/>
        </w:rPr>
        <w:t>-11-20], pp.1093-1097.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Mezhov</w:t>
      </w:r>
      <w:proofErr w:type="spellEnd"/>
      <w:r w:rsidRPr="00FC688D">
        <w:rPr>
          <w:rFonts w:cstheme="minorHAnsi"/>
          <w:sz w:val="20"/>
          <w:szCs w:val="20"/>
        </w:rPr>
        <w:t xml:space="preserve">, V., </w:t>
      </w:r>
      <w:proofErr w:type="spellStart"/>
      <w:r w:rsidRPr="00FC688D">
        <w:rPr>
          <w:rFonts w:cstheme="minorHAnsi"/>
          <w:sz w:val="20"/>
          <w:szCs w:val="20"/>
        </w:rPr>
        <w:t>Ciccutini</w:t>
      </w:r>
      <w:proofErr w:type="spellEnd"/>
      <w:r w:rsidRPr="00FC688D">
        <w:rPr>
          <w:rFonts w:cstheme="minorHAnsi"/>
          <w:sz w:val="20"/>
          <w:szCs w:val="20"/>
        </w:rPr>
        <w:t xml:space="preserve">, F.M., Hanna, F.S., Brennan, S.L., Wang, Y.Y., Urquhart, D.M. and </w:t>
      </w:r>
      <w:proofErr w:type="spellStart"/>
      <w:r w:rsidRPr="00FC688D">
        <w:rPr>
          <w:rFonts w:cstheme="minorHAnsi"/>
          <w:sz w:val="20"/>
          <w:szCs w:val="20"/>
        </w:rPr>
        <w:t>Wluka</w:t>
      </w:r>
      <w:proofErr w:type="spellEnd"/>
      <w:r w:rsidRPr="00FC688D">
        <w:rPr>
          <w:rFonts w:cstheme="minorHAnsi"/>
          <w:sz w:val="20"/>
          <w:szCs w:val="20"/>
        </w:rPr>
        <w:t xml:space="preserve">, A.E. (2014), Obesity and cartilage. </w:t>
      </w:r>
      <w:proofErr w:type="spellStart"/>
      <w:r w:rsidRPr="00FC688D">
        <w:rPr>
          <w:rFonts w:cstheme="minorHAnsi"/>
          <w:sz w:val="20"/>
          <w:szCs w:val="20"/>
        </w:rPr>
        <w:t>Obes</w:t>
      </w:r>
      <w:proofErr w:type="spellEnd"/>
      <w:r w:rsidRPr="00FC688D">
        <w:rPr>
          <w:rFonts w:cstheme="minorHAnsi"/>
          <w:sz w:val="20"/>
          <w:szCs w:val="20"/>
        </w:rPr>
        <w:t xml:space="preserve"> Rev, 15: 143-157. </w:t>
      </w:r>
      <w:hyperlink r:id="rId13" w:history="1">
        <w:r w:rsidRPr="00FC688D">
          <w:rPr>
            <w:rStyle w:val="Hyperlink"/>
            <w:rFonts w:cstheme="minorHAnsi"/>
            <w:sz w:val="20"/>
            <w:szCs w:val="20"/>
          </w:rPr>
          <w:t>https://</w:t>
        </w:r>
      </w:hyperlink>
      <w:hyperlink r:id="rId14" w:history="1">
        <w:r w:rsidRPr="00FC688D">
          <w:rPr>
            <w:rStyle w:val="Hyperlink"/>
            <w:rFonts w:cstheme="minorHAnsi"/>
            <w:sz w:val="20"/>
            <w:szCs w:val="20"/>
          </w:rPr>
          <w:t>doi.org/10.1111/obr.12110</w:t>
        </w:r>
      </w:hyperlink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Raul N </w:t>
      </w:r>
      <w:proofErr w:type="spellStart"/>
      <w:r w:rsidRPr="00FC688D">
        <w:rPr>
          <w:rFonts w:cstheme="minorHAnsi"/>
          <w:sz w:val="20"/>
          <w:szCs w:val="20"/>
        </w:rPr>
        <w:t>Uppot</w:t>
      </w:r>
      <w:proofErr w:type="spellEnd"/>
      <w:r w:rsidRPr="00FC688D">
        <w:rPr>
          <w:rFonts w:cstheme="minorHAnsi"/>
          <w:sz w:val="20"/>
          <w:szCs w:val="20"/>
        </w:rPr>
        <w:t xml:space="preserve"> et al. American Journal of Roentgenology 2007 188:2, 433-440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Foil, M.B., Collier, M.S., MacDonald, K.G. </w:t>
      </w:r>
      <w:r w:rsidRPr="00FC688D">
        <w:rPr>
          <w:rFonts w:cstheme="minorHAnsi"/>
          <w:i/>
          <w:iCs/>
          <w:sz w:val="20"/>
          <w:szCs w:val="20"/>
        </w:rPr>
        <w:t>et al.</w:t>
      </w:r>
      <w:r w:rsidRPr="00FC688D">
        <w:rPr>
          <w:rFonts w:cstheme="minorHAnsi"/>
          <w:sz w:val="20"/>
          <w:szCs w:val="20"/>
        </w:rPr>
        <w:t> Availability and Adequacy of Diagnostic and Therapeutic Equipment for the Morbidly Obese Patient in an Acute Care Setting. </w:t>
      </w:r>
      <w:r w:rsidRPr="00FC688D">
        <w:rPr>
          <w:rFonts w:cstheme="minorHAnsi"/>
          <w:i/>
          <w:iCs/>
          <w:sz w:val="20"/>
          <w:szCs w:val="20"/>
        </w:rPr>
        <w:t>OBES SURG</w:t>
      </w:r>
      <w:r w:rsidRPr="00FC688D">
        <w:rPr>
          <w:rFonts w:cstheme="minorHAnsi"/>
          <w:sz w:val="20"/>
          <w:szCs w:val="20"/>
        </w:rPr>
        <w:t> </w:t>
      </w:r>
      <w:r w:rsidRPr="00FC688D">
        <w:rPr>
          <w:rFonts w:cstheme="minorHAnsi"/>
          <w:b/>
          <w:bCs/>
          <w:sz w:val="20"/>
          <w:szCs w:val="20"/>
        </w:rPr>
        <w:t>3, </w:t>
      </w:r>
      <w:r w:rsidRPr="00FC688D">
        <w:rPr>
          <w:rFonts w:cstheme="minorHAnsi"/>
          <w:sz w:val="20"/>
          <w:szCs w:val="20"/>
        </w:rPr>
        <w:t>153–156 (1993).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BARR, JOAN MSN, CNS, RN; CUNNEEN, JANE MSN, RN, CCRN Understanding the Bariatric Client and Providing a Safe Hospital Environment, Clinical Nurse Specialist: September 2001 - Volume 15 - Issue 5 - p 219-223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Rose, Mary Ann RN, EdD; Drake, Daniel J CBN, MSN; Baker, Gloria RN, MSN; Watkins, Frank R. Jr. RN, BSN; Waters, Wanda RN; Pokorny, Marie RN, PhD Caring for morbidly obese patients: Safety considerations for nurse administrators, Nursing Management (Springhouse): November 2008 - Volume 39 - Issue 11 - p 47-50 </w:t>
      </w:r>
      <w:proofErr w:type="spellStart"/>
      <w:r w:rsidRPr="00FC688D">
        <w:rPr>
          <w:rFonts w:cstheme="minorHAnsi"/>
          <w:sz w:val="20"/>
          <w:szCs w:val="20"/>
        </w:rPr>
        <w:t>doi</w:t>
      </w:r>
      <w:proofErr w:type="spellEnd"/>
      <w:r w:rsidRPr="00FC688D">
        <w:rPr>
          <w:rFonts w:cstheme="minorHAnsi"/>
          <w:sz w:val="20"/>
          <w:szCs w:val="20"/>
        </w:rPr>
        <w:t>: 10.1097/01.NUMA.0000340819.13647.6d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Wiggermann</w:t>
      </w:r>
      <w:proofErr w:type="spellEnd"/>
      <w:r w:rsidRPr="00FC688D">
        <w:rPr>
          <w:rFonts w:cstheme="minorHAnsi"/>
          <w:sz w:val="20"/>
          <w:szCs w:val="20"/>
        </w:rPr>
        <w:t xml:space="preserve"> N, Smith K, </w:t>
      </w:r>
      <w:proofErr w:type="spellStart"/>
      <w:r w:rsidRPr="00FC688D">
        <w:rPr>
          <w:rFonts w:cstheme="minorHAnsi"/>
          <w:sz w:val="20"/>
          <w:szCs w:val="20"/>
        </w:rPr>
        <w:t>Kumpar</w:t>
      </w:r>
      <w:proofErr w:type="spellEnd"/>
      <w:r w:rsidRPr="00FC688D">
        <w:rPr>
          <w:rFonts w:cstheme="minorHAnsi"/>
          <w:sz w:val="20"/>
          <w:szCs w:val="20"/>
        </w:rPr>
        <w:t xml:space="preserve"> D. What Bed Size Does a Patient Need? The Relationship Between Body Mass Index and Space Required to Turn in Bed. 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Nurs</w:t>
      </w:r>
      <w:proofErr w:type="spellEnd"/>
      <w:r w:rsidRPr="00FC688D">
        <w:rPr>
          <w:rFonts w:cstheme="minorHAnsi"/>
          <w:i/>
          <w:iCs/>
          <w:sz w:val="20"/>
          <w:szCs w:val="20"/>
        </w:rPr>
        <w:t xml:space="preserve"> Res</w:t>
      </w:r>
      <w:r w:rsidRPr="00FC688D">
        <w:rPr>
          <w:rFonts w:cstheme="minorHAnsi"/>
          <w:sz w:val="20"/>
          <w:szCs w:val="20"/>
        </w:rPr>
        <w:t>. 2017;66(6):483-489. doi:10.1097/NNR.0000000000000242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Fusco KL, Robertson HC, Galindo H, </w:t>
      </w:r>
      <w:proofErr w:type="spellStart"/>
      <w:r w:rsidRPr="00FC688D">
        <w:rPr>
          <w:rFonts w:cstheme="minorHAnsi"/>
          <w:sz w:val="20"/>
          <w:szCs w:val="20"/>
        </w:rPr>
        <w:t>Hakendorf</w:t>
      </w:r>
      <w:proofErr w:type="spellEnd"/>
      <w:r w:rsidRPr="00FC688D">
        <w:rPr>
          <w:rFonts w:cstheme="minorHAnsi"/>
          <w:sz w:val="20"/>
          <w:szCs w:val="20"/>
        </w:rPr>
        <w:t xml:space="preserve"> PH, Thompson CH. Clinical outcomes for the obese hospital inpatient: An observational study. </w:t>
      </w:r>
      <w:r w:rsidRPr="00FC688D">
        <w:rPr>
          <w:rFonts w:cstheme="minorHAnsi"/>
          <w:i/>
          <w:iCs/>
          <w:sz w:val="20"/>
          <w:szCs w:val="20"/>
        </w:rPr>
        <w:t>SAGE Open Med</w:t>
      </w:r>
      <w:r w:rsidRPr="00FC688D">
        <w:rPr>
          <w:rFonts w:cstheme="minorHAnsi"/>
          <w:sz w:val="20"/>
          <w:szCs w:val="20"/>
        </w:rPr>
        <w:t xml:space="preserve">. </w:t>
      </w:r>
      <w:proofErr w:type="gramStart"/>
      <w:r w:rsidRPr="00FC688D">
        <w:rPr>
          <w:rFonts w:cstheme="minorHAnsi"/>
          <w:sz w:val="20"/>
          <w:szCs w:val="20"/>
        </w:rPr>
        <w:t>2017;5:2050312117700065</w:t>
      </w:r>
      <w:proofErr w:type="gramEnd"/>
      <w:r w:rsidRPr="00FC688D">
        <w:rPr>
          <w:rFonts w:cstheme="minorHAnsi"/>
          <w:sz w:val="20"/>
          <w:szCs w:val="20"/>
        </w:rPr>
        <w:t>. Published 2017 Mar 23. doi:10.1177/2050312117700065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Powell‐Wiley, T.M., Ayers, C.R., Banks‐Richard, K., Berry, J.D., </w:t>
      </w:r>
      <w:proofErr w:type="spellStart"/>
      <w:r w:rsidRPr="00FC688D">
        <w:rPr>
          <w:rFonts w:cstheme="minorHAnsi"/>
          <w:sz w:val="20"/>
          <w:szCs w:val="20"/>
        </w:rPr>
        <w:t>Kher</w:t>
      </w:r>
      <w:r w:rsidRPr="00FC688D">
        <w:rPr>
          <w:rFonts w:cstheme="minorHAnsi"/>
          <w:sz w:val="20"/>
          <w:szCs w:val="20"/>
        </w:rPr>
        <w:t>a</w:t>
      </w:r>
      <w:proofErr w:type="spellEnd"/>
      <w:r w:rsidRPr="00FC688D">
        <w:rPr>
          <w:rFonts w:cstheme="minorHAnsi"/>
          <w:sz w:val="20"/>
          <w:szCs w:val="20"/>
        </w:rPr>
        <w:t xml:space="preserve">, A., </w:t>
      </w:r>
      <w:proofErr w:type="spellStart"/>
      <w:r w:rsidRPr="00FC688D">
        <w:rPr>
          <w:rFonts w:cstheme="minorHAnsi"/>
          <w:sz w:val="20"/>
          <w:szCs w:val="20"/>
        </w:rPr>
        <w:t>Lakoski</w:t>
      </w:r>
      <w:proofErr w:type="spellEnd"/>
      <w:r w:rsidRPr="00FC688D">
        <w:rPr>
          <w:rFonts w:cstheme="minorHAnsi"/>
          <w:sz w:val="20"/>
          <w:szCs w:val="20"/>
        </w:rPr>
        <w:t xml:space="preserve">, S.G., McGuire, D.K., de </w:t>
      </w:r>
      <w:proofErr w:type="spellStart"/>
      <w:r w:rsidRPr="00FC688D">
        <w:rPr>
          <w:rFonts w:cstheme="minorHAnsi"/>
          <w:sz w:val="20"/>
          <w:szCs w:val="20"/>
        </w:rPr>
        <w:t>Lemos</w:t>
      </w:r>
      <w:proofErr w:type="spellEnd"/>
      <w:r w:rsidRPr="00FC688D">
        <w:rPr>
          <w:rFonts w:cstheme="minorHAnsi"/>
          <w:sz w:val="20"/>
          <w:szCs w:val="20"/>
        </w:rPr>
        <w:t>, J.A. and Das, S.R. (2012), Disparities in Counseling for Lifestyle Modification Among Obese Adults: Insights from the Dallas Heart Study. Obesity, 20: 849-855. 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Sandeep R. Das et al. Impact of Body Weight and Extreme Obesity on the Presentation, Treatment, and In-Hospital Outcomes of 50,149 Patients With ST-Segment Elevation Myocardial Infarction: Results From the NCDR (National Cardiovascular Data Registry</w:t>
      </w:r>
      <w:proofErr w:type="gramStart"/>
      <w:r w:rsidRPr="00FC688D">
        <w:rPr>
          <w:rFonts w:cstheme="minorHAnsi"/>
          <w:sz w:val="20"/>
          <w:szCs w:val="20"/>
        </w:rPr>
        <w:t>),Journal</w:t>
      </w:r>
      <w:proofErr w:type="gramEnd"/>
      <w:r w:rsidRPr="00FC688D">
        <w:rPr>
          <w:rFonts w:cstheme="minorHAnsi"/>
          <w:sz w:val="20"/>
          <w:szCs w:val="20"/>
        </w:rPr>
        <w:t xml:space="preserve"> of the American College of </w:t>
      </w:r>
      <w:proofErr w:type="spellStart"/>
      <w:r w:rsidRPr="00FC688D">
        <w:rPr>
          <w:rFonts w:cstheme="minorHAnsi"/>
          <w:sz w:val="20"/>
          <w:szCs w:val="20"/>
        </w:rPr>
        <w:t>Cardiology,Volume</w:t>
      </w:r>
      <w:proofErr w:type="spellEnd"/>
      <w:r w:rsidRPr="00FC688D">
        <w:rPr>
          <w:rFonts w:cstheme="minorHAnsi"/>
          <w:sz w:val="20"/>
          <w:szCs w:val="20"/>
        </w:rPr>
        <w:t xml:space="preserve"> 58, Issue 25,2011,Pages 2642-2650,</w:t>
      </w:r>
    </w:p>
    <w:p w:rsidR="00000000" w:rsidRPr="00FC688D" w:rsidRDefault="0056577B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lastRenderedPageBreak/>
        <w:t xml:space="preserve">Ramachandran K, </w:t>
      </w:r>
      <w:proofErr w:type="spellStart"/>
      <w:r w:rsidRPr="00FC688D">
        <w:rPr>
          <w:rFonts w:cstheme="minorHAnsi"/>
          <w:sz w:val="20"/>
          <w:szCs w:val="20"/>
        </w:rPr>
        <w:t>McCusker</w:t>
      </w:r>
      <w:proofErr w:type="spellEnd"/>
      <w:r w:rsidRPr="00FC688D">
        <w:rPr>
          <w:rFonts w:cstheme="minorHAnsi"/>
          <w:sz w:val="20"/>
          <w:szCs w:val="20"/>
        </w:rPr>
        <w:t xml:space="preserve"> C, Connors M, </w:t>
      </w:r>
      <w:proofErr w:type="spellStart"/>
      <w:r w:rsidRPr="00FC688D">
        <w:rPr>
          <w:rFonts w:cstheme="minorHAnsi"/>
          <w:sz w:val="20"/>
          <w:szCs w:val="20"/>
        </w:rPr>
        <w:t>ZuWallack</w:t>
      </w:r>
      <w:proofErr w:type="spellEnd"/>
      <w:r w:rsidRPr="00FC688D">
        <w:rPr>
          <w:rFonts w:cstheme="minorHAnsi"/>
          <w:sz w:val="20"/>
          <w:szCs w:val="20"/>
        </w:rPr>
        <w:t xml:space="preserve"> R, </w:t>
      </w:r>
      <w:proofErr w:type="spellStart"/>
      <w:r w:rsidRPr="00FC688D">
        <w:rPr>
          <w:rFonts w:cstheme="minorHAnsi"/>
          <w:sz w:val="20"/>
          <w:szCs w:val="20"/>
        </w:rPr>
        <w:t>Lahiri</w:t>
      </w:r>
      <w:proofErr w:type="spellEnd"/>
      <w:r w:rsidRPr="00FC688D">
        <w:rPr>
          <w:rFonts w:cstheme="minorHAnsi"/>
          <w:sz w:val="20"/>
          <w:szCs w:val="20"/>
        </w:rPr>
        <w:t xml:space="preserve"> B. The influence of obesity</w:t>
      </w:r>
      <w:r w:rsidRPr="00FC688D">
        <w:rPr>
          <w:rFonts w:cstheme="minorHAnsi"/>
          <w:sz w:val="20"/>
          <w:szCs w:val="20"/>
        </w:rPr>
        <w:t xml:space="preserve"> on pulmonary rehabilitation outcomes in patients with COPD. </w:t>
      </w:r>
      <w:r w:rsidRPr="00FC688D">
        <w:rPr>
          <w:rFonts w:cstheme="minorHAnsi"/>
          <w:i/>
          <w:iCs/>
          <w:sz w:val="20"/>
          <w:szCs w:val="20"/>
        </w:rPr>
        <w:t>Chronic Respiratory Disease</w:t>
      </w:r>
      <w:r w:rsidRPr="00FC688D">
        <w:rPr>
          <w:rFonts w:cstheme="minorHAnsi"/>
          <w:sz w:val="20"/>
          <w:szCs w:val="20"/>
        </w:rPr>
        <w:t>. November 2008:205-209. doi:</w:t>
      </w:r>
      <w:hyperlink r:id="rId15" w:history="1">
        <w:r w:rsidRPr="00FC688D">
          <w:rPr>
            <w:rStyle w:val="Hyperlink"/>
            <w:rFonts w:cstheme="minorHAnsi"/>
            <w:sz w:val="20"/>
            <w:szCs w:val="20"/>
          </w:rPr>
          <w:t>10.1177/1479972308096711</w:t>
        </w:r>
      </w:hyperlink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Smita</w:t>
      </w:r>
      <w:proofErr w:type="spellEnd"/>
      <w:r w:rsidRPr="00FC688D">
        <w:rPr>
          <w:rFonts w:cstheme="minorHAnsi"/>
          <w:sz w:val="20"/>
          <w:szCs w:val="20"/>
        </w:rPr>
        <w:t xml:space="preserve"> </w:t>
      </w:r>
      <w:proofErr w:type="spellStart"/>
      <w:r w:rsidRPr="00FC688D">
        <w:rPr>
          <w:rFonts w:cstheme="minorHAnsi"/>
          <w:sz w:val="20"/>
          <w:szCs w:val="20"/>
        </w:rPr>
        <w:t>Pakhale</w:t>
      </w:r>
      <w:proofErr w:type="spellEnd"/>
      <w:r w:rsidRPr="00FC688D">
        <w:rPr>
          <w:rFonts w:cstheme="minorHAnsi"/>
          <w:sz w:val="20"/>
          <w:szCs w:val="20"/>
        </w:rPr>
        <w:t xml:space="preserve">, Steve Doucette, Katherine </w:t>
      </w:r>
      <w:proofErr w:type="spellStart"/>
      <w:r w:rsidRPr="00FC688D">
        <w:rPr>
          <w:rFonts w:cstheme="minorHAnsi"/>
          <w:sz w:val="20"/>
          <w:szCs w:val="20"/>
        </w:rPr>
        <w:t>Vandemheen</w:t>
      </w:r>
      <w:proofErr w:type="spellEnd"/>
      <w:r w:rsidRPr="00FC688D">
        <w:rPr>
          <w:rFonts w:cstheme="minorHAnsi"/>
          <w:sz w:val="20"/>
          <w:szCs w:val="20"/>
        </w:rPr>
        <w:t xml:space="preserve"> et al. A Comparison of Obese and Nonobese People With Asthma: Exploring an Asthma-Obesity </w:t>
      </w:r>
      <w:proofErr w:type="spellStart"/>
      <w:proofErr w:type="gramStart"/>
      <w:r w:rsidRPr="00FC688D">
        <w:rPr>
          <w:rFonts w:cstheme="minorHAnsi"/>
          <w:sz w:val="20"/>
          <w:szCs w:val="20"/>
        </w:rPr>
        <w:t>Interaction,Chest</w:t>
      </w:r>
      <w:proofErr w:type="gramEnd"/>
      <w:r w:rsidRPr="00FC688D">
        <w:rPr>
          <w:rFonts w:cstheme="minorHAnsi"/>
          <w:sz w:val="20"/>
          <w:szCs w:val="20"/>
        </w:rPr>
        <w:t>,Volume</w:t>
      </w:r>
      <w:proofErr w:type="spellEnd"/>
      <w:r w:rsidRPr="00FC688D">
        <w:rPr>
          <w:rFonts w:cstheme="minorHAnsi"/>
          <w:sz w:val="20"/>
          <w:szCs w:val="20"/>
        </w:rPr>
        <w:t xml:space="preserve"> 137, Issue 6,2010,Pages 1316-1323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Schetz</w:t>
      </w:r>
      <w:proofErr w:type="spellEnd"/>
      <w:r w:rsidRPr="00FC688D">
        <w:rPr>
          <w:rFonts w:cstheme="minorHAnsi"/>
          <w:sz w:val="20"/>
          <w:szCs w:val="20"/>
        </w:rPr>
        <w:t>, M., De Jong, A., Deane, A.M. </w:t>
      </w:r>
      <w:r w:rsidRPr="00FC688D">
        <w:rPr>
          <w:rFonts w:cstheme="minorHAnsi"/>
          <w:i/>
          <w:iCs/>
          <w:sz w:val="20"/>
          <w:szCs w:val="20"/>
        </w:rPr>
        <w:t>et al.</w:t>
      </w:r>
      <w:r w:rsidRPr="00FC688D">
        <w:rPr>
          <w:rFonts w:cstheme="minorHAnsi"/>
          <w:sz w:val="20"/>
          <w:szCs w:val="20"/>
        </w:rPr>
        <w:t> Obesity in the critically ill: a narrative review. </w:t>
      </w:r>
      <w:r w:rsidRPr="00FC688D">
        <w:rPr>
          <w:rFonts w:cstheme="minorHAnsi"/>
          <w:i/>
          <w:iCs/>
          <w:sz w:val="20"/>
          <w:szCs w:val="20"/>
        </w:rPr>
        <w:t>Intensive Care Med</w:t>
      </w:r>
      <w:r w:rsidRPr="00FC688D">
        <w:rPr>
          <w:rFonts w:cstheme="minorHAnsi"/>
          <w:sz w:val="20"/>
          <w:szCs w:val="20"/>
        </w:rPr>
        <w:t> </w:t>
      </w:r>
      <w:r w:rsidRPr="00FC688D">
        <w:rPr>
          <w:rFonts w:cstheme="minorHAnsi"/>
          <w:b/>
          <w:bCs/>
          <w:sz w:val="20"/>
          <w:szCs w:val="20"/>
        </w:rPr>
        <w:t>45, </w:t>
      </w:r>
      <w:r w:rsidRPr="00FC688D">
        <w:rPr>
          <w:rFonts w:cstheme="minorHAnsi"/>
          <w:sz w:val="20"/>
          <w:szCs w:val="20"/>
        </w:rPr>
        <w:t xml:space="preserve">757–769 (2019). </w:t>
      </w:r>
      <w:hyperlink r:id="rId16" w:history="1">
        <w:r w:rsidRPr="00FC688D">
          <w:rPr>
            <w:rStyle w:val="Hyperlink"/>
            <w:rFonts w:cstheme="minorHAnsi"/>
            <w:sz w:val="20"/>
            <w:szCs w:val="20"/>
          </w:rPr>
          <w:t>https://</w:t>
        </w:r>
      </w:hyperlink>
      <w:hyperlink r:id="rId17" w:history="1">
        <w:r w:rsidRPr="00FC688D">
          <w:rPr>
            <w:rStyle w:val="Hyperlink"/>
            <w:rFonts w:cstheme="minorHAnsi"/>
            <w:sz w:val="20"/>
            <w:szCs w:val="20"/>
          </w:rPr>
          <w:t>doi.org/10.1007/s00134-019-05594-1</w:t>
        </w:r>
      </w:hyperlink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Chere Adams, Calvin Tucker, Bryan Allen, Andrew McRae, Julia </w:t>
      </w:r>
      <w:proofErr w:type="spellStart"/>
      <w:r w:rsidRPr="00FC688D">
        <w:rPr>
          <w:rFonts w:cstheme="minorHAnsi"/>
          <w:sz w:val="20"/>
          <w:szCs w:val="20"/>
        </w:rPr>
        <w:t>Balazh</w:t>
      </w:r>
      <w:proofErr w:type="spellEnd"/>
      <w:r w:rsidRPr="00FC688D">
        <w:rPr>
          <w:rFonts w:cstheme="minorHAnsi"/>
          <w:sz w:val="20"/>
          <w:szCs w:val="20"/>
        </w:rPr>
        <w:t xml:space="preserve">, Spencer Horst, Donald Johnson, Jason Ferreira. Disparities in hemodynamic resuscitation of the obese critically ill septic shock </w:t>
      </w:r>
      <w:proofErr w:type="spellStart"/>
      <w:proofErr w:type="gramStart"/>
      <w:r w:rsidRPr="00FC688D">
        <w:rPr>
          <w:rFonts w:cstheme="minorHAnsi"/>
          <w:sz w:val="20"/>
          <w:szCs w:val="20"/>
        </w:rPr>
        <w:t>patient,Journal</w:t>
      </w:r>
      <w:proofErr w:type="spellEnd"/>
      <w:proofErr w:type="gramEnd"/>
      <w:r w:rsidRPr="00FC688D">
        <w:rPr>
          <w:rFonts w:cstheme="minorHAnsi"/>
          <w:sz w:val="20"/>
          <w:szCs w:val="20"/>
        </w:rPr>
        <w:t xml:space="preserve"> of Critical </w:t>
      </w:r>
      <w:proofErr w:type="spellStart"/>
      <w:r w:rsidRPr="00FC688D">
        <w:rPr>
          <w:rFonts w:cstheme="minorHAnsi"/>
          <w:sz w:val="20"/>
          <w:szCs w:val="20"/>
        </w:rPr>
        <w:t>Care,Volume</w:t>
      </w:r>
      <w:proofErr w:type="spellEnd"/>
      <w:r w:rsidRPr="00FC688D">
        <w:rPr>
          <w:rFonts w:cstheme="minorHAnsi"/>
          <w:sz w:val="20"/>
          <w:szCs w:val="20"/>
        </w:rPr>
        <w:t xml:space="preserve"> 37,2017,Pages 219-223,</w:t>
      </w:r>
    </w:p>
    <w:p w:rsidR="00296689" w:rsidRPr="00FC688D" w:rsidRDefault="00296689" w:rsidP="002966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O’Brien, James M. Jr MD, MSc; Philips, Gary S. MAS; Ali, Naeem A. MD; </w:t>
      </w:r>
      <w:proofErr w:type="spellStart"/>
      <w:r w:rsidRPr="00FC688D">
        <w:rPr>
          <w:rFonts w:cstheme="minorHAnsi"/>
          <w:sz w:val="20"/>
          <w:szCs w:val="20"/>
        </w:rPr>
        <w:t>Aberegg</w:t>
      </w:r>
      <w:proofErr w:type="spellEnd"/>
      <w:r w:rsidRPr="00FC688D">
        <w:rPr>
          <w:rFonts w:cstheme="minorHAnsi"/>
          <w:sz w:val="20"/>
          <w:szCs w:val="20"/>
        </w:rPr>
        <w:t xml:space="preserve">, Scott K. MD, MPH; Marsh, Clay B. MD; </w:t>
      </w:r>
      <w:proofErr w:type="spellStart"/>
      <w:r w:rsidRPr="00FC688D">
        <w:rPr>
          <w:rFonts w:cstheme="minorHAnsi"/>
          <w:sz w:val="20"/>
          <w:szCs w:val="20"/>
        </w:rPr>
        <w:t>Lemeshow</w:t>
      </w:r>
      <w:proofErr w:type="spellEnd"/>
      <w:r w:rsidRPr="00FC688D">
        <w:rPr>
          <w:rFonts w:cstheme="minorHAnsi"/>
          <w:sz w:val="20"/>
          <w:szCs w:val="20"/>
        </w:rPr>
        <w:t>, Stanley PhD </w:t>
      </w:r>
      <w:proofErr w:type="gramStart"/>
      <w:r w:rsidRPr="00FC688D">
        <w:rPr>
          <w:rFonts w:cstheme="minorHAnsi"/>
          <w:sz w:val="20"/>
          <w:szCs w:val="20"/>
        </w:rPr>
        <w:t>The</w:t>
      </w:r>
      <w:proofErr w:type="gramEnd"/>
      <w:r w:rsidRPr="00FC688D">
        <w:rPr>
          <w:rFonts w:cstheme="minorHAnsi"/>
          <w:sz w:val="20"/>
          <w:szCs w:val="20"/>
        </w:rPr>
        <w:t xml:space="preserve"> association between body mass index, processes of care, and outcomes from mechanical ventilation, Critical Care Medicine: May 2012 - Volume 40 - Issue 5 - p 1456-1463 </w:t>
      </w:r>
      <w:proofErr w:type="spellStart"/>
      <w:r w:rsidRPr="00FC688D">
        <w:rPr>
          <w:rFonts w:cstheme="minorHAnsi"/>
          <w:sz w:val="20"/>
          <w:szCs w:val="20"/>
        </w:rPr>
        <w:t>doi</w:t>
      </w:r>
      <w:proofErr w:type="spellEnd"/>
      <w:r w:rsidRPr="00FC688D">
        <w:rPr>
          <w:rFonts w:cstheme="minorHAnsi"/>
          <w:sz w:val="20"/>
          <w:szCs w:val="20"/>
        </w:rPr>
        <w:t>: 10.1097/CCM.0b013e31823e9a80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Griggs JJ, </w:t>
      </w:r>
      <w:proofErr w:type="spellStart"/>
      <w:r w:rsidRPr="00FC688D">
        <w:rPr>
          <w:rFonts w:cstheme="minorHAnsi"/>
          <w:sz w:val="20"/>
          <w:szCs w:val="20"/>
        </w:rPr>
        <w:t>Sorbero</w:t>
      </w:r>
      <w:proofErr w:type="spellEnd"/>
      <w:r w:rsidRPr="00FC688D">
        <w:rPr>
          <w:rFonts w:cstheme="minorHAnsi"/>
          <w:sz w:val="20"/>
          <w:szCs w:val="20"/>
        </w:rPr>
        <w:t xml:space="preserve"> MES, Lyman GH. Undertreatment of Obese Women Receiving Breast Cancer Chemotherapy. </w:t>
      </w:r>
      <w:r w:rsidRPr="00FC688D">
        <w:rPr>
          <w:rFonts w:cstheme="minorHAnsi"/>
          <w:i/>
          <w:iCs/>
          <w:sz w:val="20"/>
          <w:szCs w:val="20"/>
        </w:rPr>
        <w:t>Arch Intern Med.</w:t>
      </w:r>
      <w:r w:rsidRPr="00FC688D">
        <w:rPr>
          <w:rFonts w:cstheme="minorHAnsi"/>
          <w:sz w:val="20"/>
          <w:szCs w:val="20"/>
        </w:rPr>
        <w:t> 2005;165(11):1267–1273. doi:10.1001/archinte.165.11.1267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Paul Peter Rosen, Philip Rhodes, Martin L. Lesser, et </w:t>
      </w:r>
      <w:proofErr w:type="spellStart"/>
      <w:proofErr w:type="gramStart"/>
      <w:r w:rsidRPr="00FC688D">
        <w:rPr>
          <w:rFonts w:cstheme="minorHAnsi"/>
          <w:sz w:val="20"/>
          <w:szCs w:val="20"/>
        </w:rPr>
        <w:t>al.Obesity</w:t>
      </w:r>
      <w:proofErr w:type="spellEnd"/>
      <w:proofErr w:type="gramEnd"/>
      <w:r w:rsidRPr="00FC688D">
        <w:rPr>
          <w:rFonts w:cstheme="minorHAnsi"/>
          <w:sz w:val="20"/>
          <w:szCs w:val="20"/>
        </w:rPr>
        <w:t xml:space="preserve"> at Diagnosis of Breast cancer influences duration of disease free survival.   Annals of Internal Medicine </w:t>
      </w:r>
      <w:proofErr w:type="gramStart"/>
      <w:r w:rsidRPr="00FC688D">
        <w:rPr>
          <w:rFonts w:cstheme="minorHAnsi"/>
          <w:sz w:val="20"/>
          <w:szCs w:val="20"/>
        </w:rPr>
        <w:t>1992;116:26</w:t>
      </w:r>
      <w:proofErr w:type="gramEnd"/>
      <w:r w:rsidRPr="00FC688D">
        <w:rPr>
          <w:rFonts w:cstheme="minorHAnsi"/>
          <w:sz w:val="20"/>
          <w:szCs w:val="20"/>
        </w:rPr>
        <w:t>-32.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Madarnas</w:t>
      </w:r>
      <w:proofErr w:type="spellEnd"/>
      <w:r w:rsidRPr="00FC688D">
        <w:rPr>
          <w:rFonts w:cstheme="minorHAnsi"/>
          <w:sz w:val="20"/>
          <w:szCs w:val="20"/>
        </w:rPr>
        <w:t>, Y., Sawka, C.A., Franssen, E. </w:t>
      </w:r>
      <w:r w:rsidRPr="00FC688D">
        <w:rPr>
          <w:rFonts w:cstheme="minorHAnsi"/>
          <w:i/>
          <w:iCs/>
          <w:sz w:val="20"/>
          <w:szCs w:val="20"/>
        </w:rPr>
        <w:t>et al.</w:t>
      </w:r>
      <w:r w:rsidRPr="00FC688D">
        <w:rPr>
          <w:rFonts w:cstheme="minorHAnsi"/>
          <w:sz w:val="20"/>
          <w:szCs w:val="20"/>
        </w:rPr>
        <w:t xml:space="preserve"> Are medical oncologists biased in their treatment of the large woman with breast </w:t>
      </w:r>
      <w:proofErr w:type="gramStart"/>
      <w:r w:rsidRPr="00FC688D">
        <w:rPr>
          <w:rFonts w:cstheme="minorHAnsi"/>
          <w:sz w:val="20"/>
          <w:szCs w:val="20"/>
        </w:rPr>
        <w:t>cancer?.</w:t>
      </w:r>
      <w:proofErr w:type="gramEnd"/>
      <w:r w:rsidRPr="00FC688D">
        <w:rPr>
          <w:rFonts w:cstheme="minorHAnsi"/>
          <w:sz w:val="20"/>
          <w:szCs w:val="20"/>
        </w:rPr>
        <w:t> </w:t>
      </w:r>
      <w:r w:rsidRPr="00FC688D">
        <w:rPr>
          <w:rFonts w:cstheme="minorHAnsi"/>
          <w:i/>
          <w:iCs/>
          <w:sz w:val="20"/>
          <w:szCs w:val="20"/>
        </w:rPr>
        <w:t>Breast Cancer Res Treat</w:t>
      </w:r>
      <w:r w:rsidRPr="00FC688D">
        <w:rPr>
          <w:rFonts w:cstheme="minorHAnsi"/>
          <w:sz w:val="20"/>
          <w:szCs w:val="20"/>
        </w:rPr>
        <w:t> </w:t>
      </w:r>
      <w:r w:rsidRPr="00FC688D">
        <w:rPr>
          <w:rFonts w:cstheme="minorHAnsi"/>
          <w:b/>
          <w:bCs/>
          <w:sz w:val="20"/>
          <w:szCs w:val="20"/>
        </w:rPr>
        <w:t>66, </w:t>
      </w:r>
      <w:r w:rsidRPr="00FC688D">
        <w:rPr>
          <w:rFonts w:cstheme="minorHAnsi"/>
          <w:sz w:val="20"/>
          <w:szCs w:val="20"/>
        </w:rPr>
        <w:t xml:space="preserve">123–133 (2001). 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Lyman, G., </w:t>
      </w:r>
      <w:proofErr w:type="spellStart"/>
      <w:r w:rsidRPr="00FC688D">
        <w:rPr>
          <w:rFonts w:cstheme="minorHAnsi"/>
          <w:sz w:val="20"/>
          <w:szCs w:val="20"/>
        </w:rPr>
        <w:t>Sparreboom</w:t>
      </w:r>
      <w:proofErr w:type="spellEnd"/>
      <w:r w:rsidRPr="00FC688D">
        <w:rPr>
          <w:rFonts w:cstheme="minorHAnsi"/>
          <w:sz w:val="20"/>
          <w:szCs w:val="20"/>
        </w:rPr>
        <w:t>, A. Chemotherapy dosing in overweight and obese patients with cancer. </w:t>
      </w:r>
      <w:r w:rsidRPr="00FC688D">
        <w:rPr>
          <w:rFonts w:cstheme="minorHAnsi"/>
          <w:i/>
          <w:iCs/>
          <w:sz w:val="20"/>
          <w:szCs w:val="20"/>
        </w:rPr>
        <w:t>Nat Rev Clin Oncol</w:t>
      </w:r>
      <w:r w:rsidRPr="00FC688D">
        <w:rPr>
          <w:rFonts w:cstheme="minorHAnsi"/>
          <w:sz w:val="20"/>
          <w:szCs w:val="20"/>
        </w:rPr>
        <w:t> </w:t>
      </w:r>
      <w:r w:rsidRPr="00FC688D">
        <w:rPr>
          <w:rFonts w:cstheme="minorHAnsi"/>
          <w:b/>
          <w:bCs/>
          <w:sz w:val="20"/>
          <w:szCs w:val="20"/>
        </w:rPr>
        <w:t>10, </w:t>
      </w:r>
      <w:r w:rsidRPr="00FC688D">
        <w:rPr>
          <w:rFonts w:cstheme="minorHAnsi"/>
          <w:sz w:val="20"/>
          <w:szCs w:val="20"/>
        </w:rPr>
        <w:t xml:space="preserve">451–459 (2013). 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Lassalle M, </w:t>
      </w:r>
      <w:proofErr w:type="spellStart"/>
      <w:r w:rsidRPr="00FC688D">
        <w:rPr>
          <w:rFonts w:cstheme="minorHAnsi"/>
          <w:sz w:val="20"/>
          <w:szCs w:val="20"/>
        </w:rPr>
        <w:t>Fezeu</w:t>
      </w:r>
      <w:proofErr w:type="spellEnd"/>
      <w:r w:rsidRPr="00FC688D">
        <w:rPr>
          <w:rFonts w:cstheme="minorHAnsi"/>
          <w:sz w:val="20"/>
          <w:szCs w:val="20"/>
        </w:rPr>
        <w:t xml:space="preserve"> LK, </w:t>
      </w:r>
      <w:proofErr w:type="spellStart"/>
      <w:r w:rsidRPr="00FC688D">
        <w:rPr>
          <w:rFonts w:cstheme="minorHAnsi"/>
          <w:sz w:val="20"/>
          <w:szCs w:val="20"/>
        </w:rPr>
        <w:t>Couchoud</w:t>
      </w:r>
      <w:proofErr w:type="spellEnd"/>
      <w:r w:rsidRPr="00FC688D">
        <w:rPr>
          <w:rFonts w:cstheme="minorHAnsi"/>
          <w:sz w:val="20"/>
          <w:szCs w:val="20"/>
        </w:rPr>
        <w:t xml:space="preserve"> C, </w:t>
      </w:r>
      <w:proofErr w:type="spellStart"/>
      <w:r w:rsidRPr="00FC688D">
        <w:rPr>
          <w:rFonts w:cstheme="minorHAnsi"/>
          <w:sz w:val="20"/>
          <w:szCs w:val="20"/>
        </w:rPr>
        <w:t>Hannedouche</w:t>
      </w:r>
      <w:proofErr w:type="spellEnd"/>
      <w:r w:rsidRPr="00FC688D">
        <w:rPr>
          <w:rFonts w:cstheme="minorHAnsi"/>
          <w:sz w:val="20"/>
          <w:szCs w:val="20"/>
        </w:rPr>
        <w:t xml:space="preserve"> T, Massy ZA, </w:t>
      </w:r>
      <w:proofErr w:type="spellStart"/>
      <w:r w:rsidRPr="00FC688D">
        <w:rPr>
          <w:rFonts w:cstheme="minorHAnsi"/>
          <w:sz w:val="20"/>
          <w:szCs w:val="20"/>
        </w:rPr>
        <w:t>Czernichow</w:t>
      </w:r>
      <w:proofErr w:type="spellEnd"/>
      <w:r w:rsidRPr="00FC688D">
        <w:rPr>
          <w:rFonts w:cstheme="minorHAnsi"/>
          <w:sz w:val="20"/>
          <w:szCs w:val="20"/>
        </w:rPr>
        <w:t xml:space="preserve"> S (2017) Obesity and access to kidney transplantation in patients starting dialysis: A prospective cohort study. </w:t>
      </w:r>
      <w:proofErr w:type="spellStart"/>
      <w:r w:rsidRPr="00FC688D">
        <w:rPr>
          <w:rFonts w:cstheme="minorHAnsi"/>
          <w:sz w:val="20"/>
          <w:szCs w:val="20"/>
        </w:rPr>
        <w:t>PLoS</w:t>
      </w:r>
      <w:proofErr w:type="spellEnd"/>
      <w:r w:rsidRPr="00FC688D">
        <w:rPr>
          <w:rFonts w:cstheme="minorHAnsi"/>
          <w:sz w:val="20"/>
          <w:szCs w:val="20"/>
        </w:rPr>
        <w:t xml:space="preserve"> ONE 12(5): e0176616.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Lentine</w:t>
      </w:r>
      <w:proofErr w:type="spellEnd"/>
      <w:r w:rsidRPr="00FC688D">
        <w:rPr>
          <w:rFonts w:cstheme="minorHAnsi"/>
          <w:sz w:val="20"/>
          <w:szCs w:val="20"/>
        </w:rPr>
        <w:t xml:space="preserve"> K, L, Delos Santos R, Axelrod D, Schnitzler M, A, Brennan D, C, Tuttle-Newhall J, E: Obesity and Kidney Transplant Candidates: How Big Is Too Big for Transplantation? Am J </w:t>
      </w:r>
      <w:proofErr w:type="spellStart"/>
      <w:r w:rsidRPr="00FC688D">
        <w:rPr>
          <w:rFonts w:cstheme="minorHAnsi"/>
          <w:sz w:val="20"/>
          <w:szCs w:val="20"/>
        </w:rPr>
        <w:t>Nephrol</w:t>
      </w:r>
      <w:proofErr w:type="spellEnd"/>
      <w:r w:rsidRPr="00FC688D">
        <w:rPr>
          <w:rFonts w:cstheme="minorHAnsi"/>
          <w:sz w:val="20"/>
          <w:szCs w:val="20"/>
        </w:rPr>
        <w:t xml:space="preserve"> </w:t>
      </w:r>
      <w:proofErr w:type="gramStart"/>
      <w:r w:rsidRPr="00FC688D">
        <w:rPr>
          <w:rFonts w:cstheme="minorHAnsi"/>
          <w:sz w:val="20"/>
          <w:szCs w:val="20"/>
        </w:rPr>
        <w:t>2012;36:575</w:t>
      </w:r>
      <w:proofErr w:type="gramEnd"/>
      <w:r w:rsidRPr="00FC688D">
        <w:rPr>
          <w:rFonts w:cstheme="minorHAnsi"/>
          <w:sz w:val="20"/>
          <w:szCs w:val="20"/>
        </w:rPr>
        <w:t xml:space="preserve">-586. </w:t>
      </w:r>
      <w:proofErr w:type="spellStart"/>
      <w:r w:rsidRPr="00FC688D">
        <w:rPr>
          <w:rFonts w:cstheme="minorHAnsi"/>
          <w:sz w:val="20"/>
          <w:szCs w:val="20"/>
        </w:rPr>
        <w:t>doi</w:t>
      </w:r>
      <w:proofErr w:type="spellEnd"/>
      <w:r w:rsidRPr="00FC688D">
        <w:rPr>
          <w:rFonts w:cstheme="minorHAnsi"/>
          <w:sz w:val="20"/>
          <w:szCs w:val="20"/>
        </w:rPr>
        <w:t>: 10.1159/000345476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Samson, A.J., Mercer, G.E. and Campbell, D.G. (2010), Total knee replacement in the morbidly obese: a literature review. ANZ Journal of Surgery, 80: 595-599.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Patricia S. </w:t>
      </w:r>
      <w:proofErr w:type="spellStart"/>
      <w:r w:rsidRPr="00FC688D">
        <w:rPr>
          <w:rFonts w:cstheme="minorHAnsi"/>
          <w:sz w:val="20"/>
          <w:szCs w:val="20"/>
        </w:rPr>
        <w:t>Choban</w:t>
      </w:r>
      <w:proofErr w:type="spellEnd"/>
      <w:r w:rsidRPr="00FC688D">
        <w:rPr>
          <w:rFonts w:cstheme="minorHAnsi"/>
          <w:sz w:val="20"/>
          <w:szCs w:val="20"/>
        </w:rPr>
        <w:t xml:space="preserve">, Louis </w:t>
      </w:r>
      <w:proofErr w:type="spellStart"/>
      <w:r w:rsidRPr="00FC688D">
        <w:rPr>
          <w:rFonts w:cstheme="minorHAnsi"/>
          <w:sz w:val="20"/>
          <w:szCs w:val="20"/>
        </w:rPr>
        <w:t>Flancbaum</w:t>
      </w:r>
      <w:proofErr w:type="spellEnd"/>
      <w:r w:rsidRPr="00FC688D">
        <w:rPr>
          <w:rFonts w:cstheme="minorHAnsi"/>
          <w:sz w:val="20"/>
          <w:szCs w:val="20"/>
        </w:rPr>
        <w:t>. The Impact of Obesity on Surgical Outcomes: A Review. J AM COLL SURG DECEMBER 1997 VOLUME 185:593–603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Adrianna C Panayi et al. Impact of Obesity on Outcomes in Breast Reconstruction: A Systematic Review and Meta-Analysis. Journal of Reconstructive Microsurgery. Jan 1, 2018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Burke DT, Bell RB, Burke DP. The Surprising Effect of Body Mass Index on Elective Orthopedic Surgeries. J Int Soc Phys </w:t>
      </w:r>
      <w:proofErr w:type="spellStart"/>
      <w:r w:rsidRPr="00FC688D">
        <w:rPr>
          <w:rFonts w:cstheme="minorHAnsi"/>
          <w:sz w:val="20"/>
          <w:szCs w:val="20"/>
        </w:rPr>
        <w:t>Rehabil</w:t>
      </w:r>
      <w:proofErr w:type="spellEnd"/>
      <w:r w:rsidRPr="00FC688D">
        <w:rPr>
          <w:rFonts w:cstheme="minorHAnsi"/>
          <w:sz w:val="20"/>
          <w:szCs w:val="20"/>
        </w:rPr>
        <w:t xml:space="preserve"> Med </w:t>
      </w:r>
      <w:proofErr w:type="gramStart"/>
      <w:r w:rsidRPr="00FC688D">
        <w:rPr>
          <w:rFonts w:cstheme="minorHAnsi"/>
          <w:sz w:val="20"/>
          <w:szCs w:val="20"/>
        </w:rPr>
        <w:t>2019;2:50</w:t>
      </w:r>
      <w:proofErr w:type="gramEnd"/>
      <w:r w:rsidRPr="00FC688D">
        <w:rPr>
          <w:rFonts w:cstheme="minorHAnsi"/>
          <w:sz w:val="20"/>
          <w:szCs w:val="20"/>
        </w:rPr>
        <w:t>-3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Robert A. </w:t>
      </w:r>
      <w:proofErr w:type="spellStart"/>
      <w:r w:rsidRPr="00FC688D">
        <w:rPr>
          <w:rFonts w:cstheme="minorHAnsi"/>
          <w:sz w:val="20"/>
          <w:szCs w:val="20"/>
        </w:rPr>
        <w:t>Carels</w:t>
      </w:r>
      <w:proofErr w:type="spellEnd"/>
      <w:r w:rsidRPr="00FC688D">
        <w:rPr>
          <w:rFonts w:cstheme="minorHAnsi"/>
          <w:sz w:val="20"/>
          <w:szCs w:val="20"/>
        </w:rPr>
        <w:t xml:space="preserve">, Ph.D., Kathleen M. Young, M.A., Carissa B. </w:t>
      </w:r>
      <w:proofErr w:type="spellStart"/>
      <w:r w:rsidRPr="00FC688D">
        <w:rPr>
          <w:rFonts w:cstheme="minorHAnsi"/>
          <w:sz w:val="20"/>
          <w:szCs w:val="20"/>
        </w:rPr>
        <w:t>Wott</w:t>
      </w:r>
      <w:proofErr w:type="spellEnd"/>
      <w:r w:rsidRPr="00FC688D">
        <w:rPr>
          <w:rFonts w:cstheme="minorHAnsi"/>
          <w:sz w:val="20"/>
          <w:szCs w:val="20"/>
        </w:rPr>
        <w:t xml:space="preserve">, M.A., Jessica Harper, M.A., Amanda </w:t>
      </w:r>
      <w:proofErr w:type="spellStart"/>
      <w:r w:rsidRPr="00FC688D">
        <w:rPr>
          <w:rFonts w:cstheme="minorHAnsi"/>
          <w:sz w:val="20"/>
          <w:szCs w:val="20"/>
        </w:rPr>
        <w:t>Gumble</w:t>
      </w:r>
      <w:proofErr w:type="spellEnd"/>
      <w:r w:rsidRPr="00FC688D">
        <w:rPr>
          <w:rFonts w:cstheme="minorHAnsi"/>
          <w:sz w:val="20"/>
          <w:szCs w:val="20"/>
        </w:rPr>
        <w:t xml:space="preserve">, B.A., Marissa Wagner </w:t>
      </w:r>
      <w:proofErr w:type="spellStart"/>
      <w:r w:rsidRPr="00FC688D">
        <w:rPr>
          <w:rFonts w:cstheme="minorHAnsi"/>
          <w:sz w:val="20"/>
          <w:szCs w:val="20"/>
        </w:rPr>
        <w:t>Oehlof</w:t>
      </w:r>
      <w:proofErr w:type="spellEnd"/>
      <w:r w:rsidRPr="00FC688D">
        <w:rPr>
          <w:rFonts w:cstheme="minorHAnsi"/>
          <w:sz w:val="20"/>
          <w:szCs w:val="20"/>
        </w:rPr>
        <w:t>, M.A., Anna Marie Clayton, M.A., Weight Bias and Weight Loss Treatment Outcomes in Treatment-Seeking Adults, </w:t>
      </w:r>
      <w:r w:rsidRPr="00FC688D">
        <w:rPr>
          <w:rFonts w:cstheme="minorHAnsi"/>
          <w:i/>
          <w:iCs/>
          <w:sz w:val="20"/>
          <w:szCs w:val="20"/>
        </w:rPr>
        <w:t>Annals of Behavioral Medicine</w:t>
      </w:r>
      <w:r w:rsidRPr="00FC688D">
        <w:rPr>
          <w:rFonts w:cstheme="minorHAnsi"/>
          <w:sz w:val="20"/>
          <w:szCs w:val="20"/>
        </w:rPr>
        <w:t xml:space="preserve">, Volume 37, Issue 3, June 2009, Pages 350–355, 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Friedman, K.E., Reichmann, S.K., Costanzo, P.R., </w:t>
      </w:r>
      <w:proofErr w:type="spellStart"/>
      <w:r w:rsidRPr="00FC688D">
        <w:rPr>
          <w:rFonts w:cstheme="minorHAnsi"/>
          <w:sz w:val="20"/>
          <w:szCs w:val="20"/>
        </w:rPr>
        <w:t>Zelli</w:t>
      </w:r>
      <w:proofErr w:type="spellEnd"/>
      <w:r w:rsidRPr="00FC688D">
        <w:rPr>
          <w:rFonts w:cstheme="minorHAnsi"/>
          <w:sz w:val="20"/>
          <w:szCs w:val="20"/>
        </w:rPr>
        <w:t xml:space="preserve">, A., Ashmore, J.A. and </w:t>
      </w:r>
      <w:proofErr w:type="spellStart"/>
      <w:r w:rsidRPr="00FC688D">
        <w:rPr>
          <w:rFonts w:cstheme="minorHAnsi"/>
          <w:sz w:val="20"/>
          <w:szCs w:val="20"/>
        </w:rPr>
        <w:t>Musante</w:t>
      </w:r>
      <w:proofErr w:type="spellEnd"/>
      <w:r w:rsidRPr="00FC688D">
        <w:rPr>
          <w:rFonts w:cstheme="minorHAnsi"/>
          <w:sz w:val="20"/>
          <w:szCs w:val="20"/>
        </w:rPr>
        <w:t>, G.J. (2005), Weight Stigmatization and Ideological Beliefs: Relation to Psychological Functioning in Obese Adults. Obesity Research, 13: 907-916.</w:t>
      </w:r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Stacey </w:t>
      </w:r>
      <w:proofErr w:type="spellStart"/>
      <w:r w:rsidRPr="00FC688D">
        <w:rPr>
          <w:rFonts w:cstheme="minorHAnsi"/>
          <w:sz w:val="20"/>
          <w:szCs w:val="20"/>
        </w:rPr>
        <w:t>butterfield</w:t>
      </w:r>
      <w:proofErr w:type="spellEnd"/>
      <w:r w:rsidRPr="00FC688D">
        <w:rPr>
          <w:rFonts w:cstheme="minorHAnsi"/>
          <w:sz w:val="20"/>
          <w:szCs w:val="20"/>
        </w:rPr>
        <w:t>. Obesity and malnutrition are not mutually exclusive. ACP hospitalist. Feb 2015</w:t>
      </w:r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Barazzoni</w:t>
      </w:r>
      <w:proofErr w:type="spellEnd"/>
      <w:r w:rsidRPr="00FC688D">
        <w:rPr>
          <w:rFonts w:cstheme="minorHAnsi"/>
          <w:sz w:val="20"/>
          <w:szCs w:val="20"/>
        </w:rPr>
        <w:t xml:space="preserve">, R., </w:t>
      </w:r>
      <w:proofErr w:type="spellStart"/>
      <w:r w:rsidRPr="00FC688D">
        <w:rPr>
          <w:rFonts w:cstheme="minorHAnsi"/>
          <w:sz w:val="20"/>
          <w:szCs w:val="20"/>
        </w:rPr>
        <w:t>Gortan</w:t>
      </w:r>
      <w:proofErr w:type="spellEnd"/>
      <w:r w:rsidRPr="00FC688D">
        <w:rPr>
          <w:rFonts w:cstheme="minorHAnsi"/>
          <w:sz w:val="20"/>
          <w:szCs w:val="20"/>
        </w:rPr>
        <w:t xml:space="preserve"> </w:t>
      </w:r>
      <w:proofErr w:type="spellStart"/>
      <w:r w:rsidRPr="00FC688D">
        <w:rPr>
          <w:rFonts w:cstheme="minorHAnsi"/>
          <w:sz w:val="20"/>
          <w:szCs w:val="20"/>
        </w:rPr>
        <w:t>Cappellari</w:t>
      </w:r>
      <w:proofErr w:type="spellEnd"/>
      <w:r w:rsidRPr="00FC688D">
        <w:rPr>
          <w:rFonts w:cstheme="minorHAnsi"/>
          <w:sz w:val="20"/>
          <w:szCs w:val="20"/>
        </w:rPr>
        <w:t>, G. Double burden of malnutrition in persons with obesity. </w:t>
      </w:r>
      <w:r w:rsidRPr="00FC688D">
        <w:rPr>
          <w:rFonts w:cstheme="minorHAnsi"/>
          <w:i/>
          <w:iCs/>
          <w:sz w:val="20"/>
          <w:szCs w:val="20"/>
        </w:rPr>
        <w:t xml:space="preserve">Rev 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Endocr</w:t>
      </w:r>
      <w:proofErr w:type="spellEnd"/>
      <w:r w:rsidRPr="00FC688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Metab</w:t>
      </w:r>
      <w:proofErr w:type="spellEnd"/>
      <w:r w:rsidRPr="00FC688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Disord</w:t>
      </w:r>
      <w:proofErr w:type="spellEnd"/>
      <w:r w:rsidRPr="00FC688D">
        <w:rPr>
          <w:rFonts w:cstheme="minorHAnsi"/>
          <w:sz w:val="20"/>
          <w:szCs w:val="20"/>
        </w:rPr>
        <w:t> </w:t>
      </w:r>
      <w:r w:rsidRPr="00FC688D">
        <w:rPr>
          <w:rFonts w:cstheme="minorHAnsi"/>
          <w:b/>
          <w:bCs/>
          <w:sz w:val="20"/>
          <w:szCs w:val="20"/>
        </w:rPr>
        <w:t>21, </w:t>
      </w:r>
      <w:r w:rsidRPr="00FC688D">
        <w:rPr>
          <w:rFonts w:cstheme="minorHAnsi"/>
          <w:sz w:val="20"/>
          <w:szCs w:val="20"/>
        </w:rPr>
        <w:t xml:space="preserve">307–313 (2020). </w:t>
      </w:r>
      <w:hyperlink r:id="rId18" w:history="1">
        <w:r w:rsidRPr="00FC688D">
          <w:rPr>
            <w:rStyle w:val="Hyperlink"/>
            <w:rFonts w:cstheme="minorHAnsi"/>
            <w:sz w:val="20"/>
            <w:szCs w:val="20"/>
          </w:rPr>
          <w:t>https://</w:t>
        </w:r>
      </w:hyperlink>
      <w:hyperlink r:id="rId19" w:history="1">
        <w:r w:rsidRPr="00FC688D">
          <w:rPr>
            <w:rStyle w:val="Hyperlink"/>
            <w:rFonts w:cstheme="minorHAnsi"/>
            <w:sz w:val="20"/>
            <w:szCs w:val="20"/>
          </w:rPr>
          <w:t>doi.org/10.1007/s11154-020-09578-1</w:t>
        </w:r>
      </w:hyperlink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lastRenderedPageBreak/>
        <w:t>Donini</w:t>
      </w:r>
      <w:proofErr w:type="spellEnd"/>
      <w:r w:rsidRPr="00FC688D">
        <w:rPr>
          <w:rFonts w:cstheme="minorHAnsi"/>
          <w:sz w:val="20"/>
          <w:szCs w:val="20"/>
        </w:rPr>
        <w:t xml:space="preserve"> LM, </w:t>
      </w:r>
      <w:proofErr w:type="spellStart"/>
      <w:r w:rsidRPr="00FC688D">
        <w:rPr>
          <w:rFonts w:cstheme="minorHAnsi"/>
          <w:sz w:val="20"/>
          <w:szCs w:val="20"/>
        </w:rPr>
        <w:t>Busetto</w:t>
      </w:r>
      <w:proofErr w:type="spellEnd"/>
      <w:r w:rsidRPr="00FC688D">
        <w:rPr>
          <w:rFonts w:cstheme="minorHAnsi"/>
          <w:sz w:val="20"/>
          <w:szCs w:val="20"/>
        </w:rPr>
        <w:t xml:space="preserve"> L, Bauer JM, Bischoff S, </w:t>
      </w:r>
      <w:proofErr w:type="spellStart"/>
      <w:r w:rsidRPr="00FC688D">
        <w:rPr>
          <w:rFonts w:cstheme="minorHAnsi"/>
          <w:sz w:val="20"/>
          <w:szCs w:val="20"/>
        </w:rPr>
        <w:t>Boirie</w:t>
      </w:r>
      <w:proofErr w:type="spellEnd"/>
      <w:r w:rsidRPr="00FC688D">
        <w:rPr>
          <w:rFonts w:cstheme="minorHAnsi"/>
          <w:sz w:val="20"/>
          <w:szCs w:val="20"/>
        </w:rPr>
        <w:t xml:space="preserve"> Y, Cederholm T, et al. Critical appraisa</w:t>
      </w:r>
      <w:r w:rsidRPr="00FC688D">
        <w:rPr>
          <w:rFonts w:cstheme="minorHAnsi"/>
          <w:sz w:val="20"/>
          <w:szCs w:val="20"/>
        </w:rPr>
        <w:t xml:space="preserve">l of definitions and diagnostic criteria for sarcopenic obesity based on a systematic review. Clin </w:t>
      </w:r>
      <w:proofErr w:type="spellStart"/>
      <w:r w:rsidRPr="00FC688D">
        <w:rPr>
          <w:rFonts w:cstheme="minorHAnsi"/>
          <w:sz w:val="20"/>
          <w:szCs w:val="20"/>
        </w:rPr>
        <w:t>Nutr</w:t>
      </w:r>
      <w:proofErr w:type="spellEnd"/>
      <w:r w:rsidRPr="00FC688D">
        <w:rPr>
          <w:rFonts w:cstheme="minorHAnsi"/>
          <w:sz w:val="20"/>
          <w:szCs w:val="20"/>
        </w:rPr>
        <w:t>. 2019. </w:t>
      </w:r>
      <w:hyperlink r:id="rId20" w:history="1">
        <w:r w:rsidRPr="00FC688D">
          <w:rPr>
            <w:rStyle w:val="Hyperlink"/>
            <w:rFonts w:cstheme="minorHAnsi"/>
            <w:sz w:val="20"/>
            <w:szCs w:val="20"/>
          </w:rPr>
          <w:t>https://doi.org/10.1016/j.clnu.2019.11.024</w:t>
        </w:r>
      </w:hyperlink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Panza</w:t>
      </w:r>
      <w:proofErr w:type="spellEnd"/>
      <w:r w:rsidRPr="00FC688D">
        <w:rPr>
          <w:rFonts w:cstheme="minorHAnsi"/>
          <w:sz w:val="20"/>
          <w:szCs w:val="20"/>
        </w:rPr>
        <w:t>, G. A</w:t>
      </w:r>
      <w:r w:rsidRPr="00FC688D">
        <w:rPr>
          <w:rFonts w:cstheme="minorHAnsi"/>
          <w:sz w:val="20"/>
          <w:szCs w:val="20"/>
        </w:rPr>
        <w:t>., Armstrong, L. E., Taylor, B. A., </w:t>
      </w:r>
      <w:proofErr w:type="spellStart"/>
      <w:r w:rsidRPr="00FC688D">
        <w:rPr>
          <w:rFonts w:cstheme="minorHAnsi"/>
          <w:sz w:val="20"/>
          <w:szCs w:val="20"/>
        </w:rPr>
        <w:t>Puhl</w:t>
      </w:r>
      <w:proofErr w:type="spellEnd"/>
      <w:r w:rsidRPr="00FC688D">
        <w:rPr>
          <w:rFonts w:cstheme="minorHAnsi"/>
          <w:sz w:val="20"/>
          <w:szCs w:val="20"/>
        </w:rPr>
        <w:t>, R. M., Livingston, J., and </w:t>
      </w:r>
      <w:proofErr w:type="spellStart"/>
      <w:r w:rsidRPr="00FC688D">
        <w:rPr>
          <w:rFonts w:cstheme="minorHAnsi"/>
          <w:sz w:val="20"/>
          <w:szCs w:val="20"/>
        </w:rPr>
        <w:t>Pescatello</w:t>
      </w:r>
      <w:proofErr w:type="spellEnd"/>
      <w:r w:rsidRPr="00FC688D">
        <w:rPr>
          <w:rFonts w:cstheme="minorHAnsi"/>
          <w:sz w:val="20"/>
          <w:szCs w:val="20"/>
        </w:rPr>
        <w:t>, L. S. (2018) Weight bias among exercise and nutrition professionals: a systematic review. </w:t>
      </w:r>
      <w:r w:rsidRPr="00FC688D">
        <w:rPr>
          <w:rFonts w:cstheme="minorHAnsi"/>
          <w:i/>
          <w:iCs/>
          <w:sz w:val="20"/>
          <w:szCs w:val="20"/>
        </w:rPr>
        <w:t>Obesity Reviews</w:t>
      </w:r>
      <w:r w:rsidRPr="00FC688D">
        <w:rPr>
          <w:rFonts w:cstheme="minorHAnsi"/>
          <w:sz w:val="20"/>
          <w:szCs w:val="20"/>
        </w:rPr>
        <w:t>, 19: 1492– 1503. </w:t>
      </w:r>
      <w:hyperlink r:id="rId21" w:history="1">
        <w:r w:rsidRPr="00FC688D">
          <w:rPr>
            <w:rStyle w:val="Hyperlink"/>
            <w:rFonts w:cstheme="minorHAnsi"/>
            <w:sz w:val="20"/>
            <w:szCs w:val="20"/>
          </w:rPr>
          <w:t>https://doi.org/10.1111/obr.12743</w:t>
        </w:r>
      </w:hyperlink>
      <w:r w:rsidRPr="00FC688D">
        <w:rPr>
          <w:rFonts w:cstheme="minorHAnsi"/>
          <w:sz w:val="20"/>
          <w:szCs w:val="20"/>
        </w:rPr>
        <w:t>.</w:t>
      </w:r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Wiklund</w:t>
      </w:r>
      <w:proofErr w:type="spellEnd"/>
      <w:r w:rsidRPr="00FC688D">
        <w:rPr>
          <w:rFonts w:cstheme="minorHAnsi"/>
          <w:sz w:val="20"/>
          <w:szCs w:val="20"/>
        </w:rPr>
        <w:t xml:space="preserve">, M., </w:t>
      </w:r>
      <w:proofErr w:type="spellStart"/>
      <w:r w:rsidRPr="00FC688D">
        <w:rPr>
          <w:rFonts w:cstheme="minorHAnsi"/>
          <w:sz w:val="20"/>
          <w:szCs w:val="20"/>
        </w:rPr>
        <w:t>Olsén</w:t>
      </w:r>
      <w:proofErr w:type="spellEnd"/>
      <w:r w:rsidRPr="00FC688D">
        <w:rPr>
          <w:rFonts w:cstheme="minorHAnsi"/>
          <w:sz w:val="20"/>
          <w:szCs w:val="20"/>
        </w:rPr>
        <w:t xml:space="preserve">, M.F. and </w:t>
      </w:r>
      <w:proofErr w:type="spellStart"/>
      <w:r w:rsidRPr="00FC688D">
        <w:rPr>
          <w:rFonts w:cstheme="minorHAnsi"/>
          <w:sz w:val="20"/>
          <w:szCs w:val="20"/>
        </w:rPr>
        <w:t>Willén</w:t>
      </w:r>
      <w:proofErr w:type="spellEnd"/>
      <w:r w:rsidRPr="00FC688D">
        <w:rPr>
          <w:rFonts w:cstheme="minorHAnsi"/>
          <w:sz w:val="20"/>
          <w:szCs w:val="20"/>
        </w:rPr>
        <w:t xml:space="preserve">, C. (2011), Physical activity as viewed by adults with severe obesity, awaiting gastric bypass surgery. </w:t>
      </w:r>
      <w:proofErr w:type="spellStart"/>
      <w:r w:rsidRPr="00FC688D">
        <w:rPr>
          <w:rFonts w:cstheme="minorHAnsi"/>
          <w:sz w:val="20"/>
          <w:szCs w:val="20"/>
        </w:rPr>
        <w:t>Physiother</w:t>
      </w:r>
      <w:proofErr w:type="spellEnd"/>
      <w:r w:rsidRPr="00FC688D">
        <w:rPr>
          <w:rFonts w:cstheme="minorHAnsi"/>
          <w:sz w:val="20"/>
          <w:szCs w:val="20"/>
        </w:rPr>
        <w:t>. Res. Int., 16: 179-186. </w:t>
      </w:r>
      <w:hyperlink r:id="rId22" w:history="1">
        <w:r w:rsidRPr="00FC688D">
          <w:rPr>
            <w:rStyle w:val="Hyperlink"/>
            <w:rFonts w:cstheme="minorHAnsi"/>
            <w:sz w:val="20"/>
            <w:szCs w:val="20"/>
          </w:rPr>
          <w:t>htt</w:t>
        </w:r>
        <w:r w:rsidRPr="00FC688D">
          <w:rPr>
            <w:rStyle w:val="Hyperlink"/>
            <w:rFonts w:cstheme="minorHAnsi"/>
            <w:sz w:val="20"/>
            <w:szCs w:val="20"/>
          </w:rPr>
          <w:t>ps://doi.org/10.1002/pri.497</w:t>
        </w:r>
      </w:hyperlink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Robinson J, Swift-Scanlan T, Salyer J. Obesity and 1-Year Mortality in Adults After Sepsis: A Systematic Review. </w:t>
      </w:r>
      <w:r w:rsidRPr="00FC688D">
        <w:rPr>
          <w:rFonts w:cstheme="minorHAnsi"/>
          <w:i/>
          <w:iCs/>
          <w:sz w:val="20"/>
          <w:szCs w:val="20"/>
        </w:rPr>
        <w:t xml:space="preserve">Biological Research </w:t>
      </w:r>
      <w:proofErr w:type="gramStart"/>
      <w:r w:rsidRPr="00FC688D">
        <w:rPr>
          <w:rFonts w:cstheme="minorHAnsi"/>
          <w:i/>
          <w:iCs/>
          <w:sz w:val="20"/>
          <w:szCs w:val="20"/>
        </w:rPr>
        <w:t>For</w:t>
      </w:r>
      <w:proofErr w:type="gramEnd"/>
      <w:r w:rsidRPr="00FC688D">
        <w:rPr>
          <w:rFonts w:cstheme="minorHAnsi"/>
          <w:i/>
          <w:iCs/>
          <w:sz w:val="20"/>
          <w:szCs w:val="20"/>
        </w:rPr>
        <w:t xml:space="preserve"> Nursing</w:t>
      </w:r>
      <w:r w:rsidRPr="00FC688D">
        <w:rPr>
          <w:rFonts w:cstheme="minorHAnsi"/>
          <w:sz w:val="20"/>
          <w:szCs w:val="20"/>
        </w:rPr>
        <w:t>. 2020;22(1):103-113.</w:t>
      </w:r>
    </w:p>
    <w:p w:rsidR="00FC688D" w:rsidRPr="00FC688D" w:rsidRDefault="00FC688D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>Wang, S., Liu, X., Chen, Q. </w:t>
      </w:r>
      <w:r w:rsidRPr="00FC688D">
        <w:rPr>
          <w:rFonts w:cstheme="minorHAnsi"/>
          <w:i/>
          <w:iCs/>
          <w:sz w:val="20"/>
          <w:szCs w:val="20"/>
        </w:rPr>
        <w:t>et al.</w:t>
      </w:r>
      <w:r w:rsidRPr="00FC688D">
        <w:rPr>
          <w:rFonts w:cstheme="minorHAnsi"/>
          <w:sz w:val="20"/>
          <w:szCs w:val="20"/>
        </w:rPr>
        <w:t> The role of increased body mass index in outcomes of sepsis: a systematic review and meta-analysis. </w:t>
      </w:r>
      <w:r w:rsidRPr="00FC688D">
        <w:rPr>
          <w:rFonts w:cstheme="minorHAnsi"/>
          <w:i/>
          <w:iCs/>
          <w:sz w:val="20"/>
          <w:szCs w:val="20"/>
        </w:rPr>
        <w:t xml:space="preserve">BMC 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Anesthesiol</w:t>
      </w:r>
      <w:proofErr w:type="spellEnd"/>
      <w:r w:rsidRPr="00FC688D">
        <w:rPr>
          <w:rFonts w:cstheme="minorHAnsi"/>
          <w:sz w:val="20"/>
          <w:szCs w:val="20"/>
        </w:rPr>
        <w:t> </w:t>
      </w:r>
      <w:r w:rsidRPr="00FC688D">
        <w:rPr>
          <w:rFonts w:cstheme="minorHAnsi"/>
          <w:b/>
          <w:bCs/>
          <w:sz w:val="20"/>
          <w:szCs w:val="20"/>
        </w:rPr>
        <w:t>17, </w:t>
      </w:r>
      <w:r w:rsidRPr="00FC688D">
        <w:rPr>
          <w:rFonts w:cstheme="minorHAnsi"/>
          <w:sz w:val="20"/>
          <w:szCs w:val="20"/>
        </w:rPr>
        <w:t>118 (2017).</w:t>
      </w:r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Srivastava, G., Johnson, E.D., Earle, R.L., </w:t>
      </w:r>
      <w:proofErr w:type="spellStart"/>
      <w:r w:rsidRPr="00FC688D">
        <w:rPr>
          <w:rFonts w:cstheme="minorHAnsi"/>
          <w:sz w:val="20"/>
          <w:szCs w:val="20"/>
        </w:rPr>
        <w:t>Kadambi</w:t>
      </w:r>
      <w:proofErr w:type="spellEnd"/>
      <w:r w:rsidRPr="00FC688D">
        <w:rPr>
          <w:rFonts w:cstheme="minorHAnsi"/>
          <w:sz w:val="20"/>
          <w:szCs w:val="20"/>
        </w:rPr>
        <w:t xml:space="preserve">, N., </w:t>
      </w:r>
      <w:proofErr w:type="spellStart"/>
      <w:r w:rsidRPr="00FC688D">
        <w:rPr>
          <w:rFonts w:cstheme="minorHAnsi"/>
          <w:sz w:val="20"/>
          <w:szCs w:val="20"/>
        </w:rPr>
        <w:t>Pazin</w:t>
      </w:r>
      <w:proofErr w:type="spellEnd"/>
      <w:r w:rsidRPr="00FC688D">
        <w:rPr>
          <w:rFonts w:cstheme="minorHAnsi"/>
          <w:sz w:val="20"/>
          <w:szCs w:val="20"/>
        </w:rPr>
        <w:t xml:space="preserve">, D.E. and Kaplan, L.M. (2018), </w:t>
      </w:r>
      <w:proofErr w:type="spellStart"/>
      <w:r w:rsidRPr="00FC688D">
        <w:rPr>
          <w:rFonts w:cstheme="minorHAnsi"/>
          <w:sz w:val="20"/>
          <w:szCs w:val="20"/>
        </w:rPr>
        <w:t>Underdocumentation</w:t>
      </w:r>
      <w:proofErr w:type="spellEnd"/>
      <w:r w:rsidRPr="00FC688D">
        <w:rPr>
          <w:rFonts w:cstheme="minorHAnsi"/>
          <w:sz w:val="20"/>
          <w:szCs w:val="20"/>
        </w:rPr>
        <w:t xml:space="preserve"> of </w:t>
      </w:r>
      <w:r w:rsidRPr="00FC688D">
        <w:rPr>
          <w:rFonts w:cstheme="minorHAnsi"/>
          <w:sz w:val="20"/>
          <w:szCs w:val="20"/>
        </w:rPr>
        <w:t>Obesity by Medical Residents Highlights Challenges to Effective Obesity Care. Obesity, 26: 1277-1284. </w:t>
      </w:r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Phelan SM, Burgess DJ, </w:t>
      </w:r>
      <w:proofErr w:type="spellStart"/>
      <w:r w:rsidRPr="00FC688D">
        <w:rPr>
          <w:rFonts w:cstheme="minorHAnsi"/>
          <w:sz w:val="20"/>
          <w:szCs w:val="20"/>
        </w:rPr>
        <w:t>Yeazel</w:t>
      </w:r>
      <w:proofErr w:type="spellEnd"/>
      <w:r w:rsidRPr="00FC688D">
        <w:rPr>
          <w:rFonts w:cstheme="minorHAnsi"/>
          <w:sz w:val="20"/>
          <w:szCs w:val="20"/>
        </w:rPr>
        <w:t xml:space="preserve"> MW, </w:t>
      </w:r>
      <w:proofErr w:type="spellStart"/>
      <w:r w:rsidRPr="00FC688D">
        <w:rPr>
          <w:rFonts w:cstheme="minorHAnsi"/>
          <w:sz w:val="20"/>
          <w:szCs w:val="20"/>
        </w:rPr>
        <w:t>Hellerstedt</w:t>
      </w:r>
      <w:proofErr w:type="spellEnd"/>
      <w:r w:rsidRPr="00FC688D">
        <w:rPr>
          <w:rFonts w:cstheme="minorHAnsi"/>
          <w:sz w:val="20"/>
          <w:szCs w:val="20"/>
        </w:rPr>
        <w:t xml:space="preserve"> WL, Griffin JM, van </w:t>
      </w:r>
      <w:proofErr w:type="spellStart"/>
      <w:r w:rsidRPr="00FC688D">
        <w:rPr>
          <w:rFonts w:cstheme="minorHAnsi"/>
          <w:sz w:val="20"/>
          <w:szCs w:val="20"/>
        </w:rPr>
        <w:t>Ryn</w:t>
      </w:r>
      <w:proofErr w:type="spellEnd"/>
      <w:r w:rsidRPr="00FC688D">
        <w:rPr>
          <w:rFonts w:cstheme="minorHAnsi"/>
          <w:sz w:val="20"/>
          <w:szCs w:val="20"/>
        </w:rPr>
        <w:t xml:space="preserve"> M. Impact of weig</w:t>
      </w:r>
      <w:r w:rsidRPr="00FC688D">
        <w:rPr>
          <w:rFonts w:cstheme="minorHAnsi"/>
          <w:sz w:val="20"/>
          <w:szCs w:val="20"/>
        </w:rPr>
        <w:t>ht bias and stigma on quality of care and outcomes for patients with obesity. </w:t>
      </w:r>
      <w:proofErr w:type="spellStart"/>
      <w:r w:rsidRPr="00FC688D">
        <w:rPr>
          <w:rFonts w:cstheme="minorHAnsi"/>
          <w:i/>
          <w:iCs/>
          <w:sz w:val="20"/>
          <w:szCs w:val="20"/>
        </w:rPr>
        <w:t>Obes</w:t>
      </w:r>
      <w:proofErr w:type="spellEnd"/>
      <w:r w:rsidRPr="00FC688D">
        <w:rPr>
          <w:rFonts w:cstheme="minorHAnsi"/>
          <w:i/>
          <w:iCs/>
          <w:sz w:val="20"/>
          <w:szCs w:val="20"/>
        </w:rPr>
        <w:t xml:space="preserve"> Rev</w:t>
      </w:r>
      <w:r w:rsidRPr="00FC688D">
        <w:rPr>
          <w:rFonts w:cstheme="minorHAnsi"/>
          <w:sz w:val="20"/>
          <w:szCs w:val="20"/>
        </w:rPr>
        <w:t>. 2015;16(4):319-326. doi:10.1111/obr</w:t>
      </w:r>
      <w:r w:rsidRPr="00FC688D">
        <w:rPr>
          <w:rFonts w:cstheme="minorHAnsi"/>
          <w:sz w:val="20"/>
          <w:szCs w:val="20"/>
        </w:rPr>
        <w:t>.12266</w:t>
      </w:r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Puhl</w:t>
      </w:r>
      <w:proofErr w:type="spellEnd"/>
      <w:r w:rsidRPr="00FC688D">
        <w:rPr>
          <w:rFonts w:cstheme="minorHAnsi"/>
          <w:sz w:val="20"/>
          <w:szCs w:val="20"/>
        </w:rPr>
        <w:t xml:space="preserve"> R, Brownell K. Psychosocial origins of obesity stigma: toward changing a powerful and pervasive bias. </w:t>
      </w:r>
      <w:proofErr w:type="spellStart"/>
      <w:r w:rsidRPr="00FC688D">
        <w:rPr>
          <w:rFonts w:cstheme="minorHAnsi"/>
          <w:sz w:val="20"/>
          <w:szCs w:val="20"/>
        </w:rPr>
        <w:t>Obes</w:t>
      </w:r>
      <w:proofErr w:type="spellEnd"/>
      <w:r w:rsidRPr="00FC688D">
        <w:rPr>
          <w:rFonts w:cstheme="minorHAnsi"/>
          <w:sz w:val="20"/>
          <w:szCs w:val="20"/>
        </w:rPr>
        <w:t xml:space="preserve"> Rev. </w:t>
      </w:r>
      <w:proofErr w:type="gramStart"/>
      <w:r w:rsidRPr="00FC688D">
        <w:rPr>
          <w:rFonts w:cstheme="minorHAnsi"/>
          <w:sz w:val="20"/>
          <w:szCs w:val="20"/>
        </w:rPr>
        <w:t>2003;4:213</w:t>
      </w:r>
      <w:proofErr w:type="gramEnd"/>
      <w:r w:rsidRPr="00FC688D">
        <w:rPr>
          <w:rFonts w:cstheme="minorHAnsi"/>
          <w:sz w:val="20"/>
          <w:szCs w:val="20"/>
        </w:rPr>
        <w:t>–227.</w:t>
      </w:r>
    </w:p>
    <w:p w:rsidR="00000000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FC688D">
        <w:rPr>
          <w:rFonts w:cstheme="minorHAnsi"/>
          <w:sz w:val="20"/>
          <w:szCs w:val="20"/>
        </w:rPr>
        <w:t>Danielsdottir</w:t>
      </w:r>
      <w:proofErr w:type="spellEnd"/>
      <w:r w:rsidRPr="00FC688D">
        <w:rPr>
          <w:rFonts w:cstheme="minorHAnsi"/>
          <w:sz w:val="20"/>
          <w:szCs w:val="20"/>
        </w:rPr>
        <w:t xml:space="preserve"> S, O'Brien KS, Ciao A. Anti-fat prejudice reduction: a review of published studies. </w:t>
      </w:r>
      <w:proofErr w:type="spellStart"/>
      <w:r w:rsidRPr="00FC688D">
        <w:rPr>
          <w:rFonts w:cstheme="minorHAnsi"/>
          <w:sz w:val="20"/>
          <w:szCs w:val="20"/>
        </w:rPr>
        <w:t>Obes</w:t>
      </w:r>
      <w:proofErr w:type="spellEnd"/>
      <w:r w:rsidRPr="00FC688D">
        <w:rPr>
          <w:rFonts w:cstheme="minorHAnsi"/>
          <w:sz w:val="20"/>
          <w:szCs w:val="20"/>
        </w:rPr>
        <w:t xml:space="preserve"> Facts. </w:t>
      </w:r>
      <w:proofErr w:type="gramStart"/>
      <w:r w:rsidRPr="00FC688D">
        <w:rPr>
          <w:rFonts w:cstheme="minorHAnsi"/>
          <w:sz w:val="20"/>
          <w:szCs w:val="20"/>
        </w:rPr>
        <w:t>2010;3:47</w:t>
      </w:r>
      <w:proofErr w:type="gramEnd"/>
      <w:r w:rsidRPr="00FC688D">
        <w:rPr>
          <w:rFonts w:cstheme="minorHAnsi"/>
          <w:sz w:val="20"/>
          <w:szCs w:val="20"/>
        </w:rPr>
        <w:t>–58. </w:t>
      </w:r>
    </w:p>
    <w:p w:rsidR="00296689" w:rsidRPr="00FC688D" w:rsidRDefault="0056577B" w:rsidP="00FC68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688D">
        <w:rPr>
          <w:rFonts w:cstheme="minorHAnsi"/>
          <w:sz w:val="20"/>
          <w:szCs w:val="20"/>
        </w:rPr>
        <w:t xml:space="preserve">O'Brien KS, </w:t>
      </w:r>
      <w:proofErr w:type="spellStart"/>
      <w:r w:rsidRPr="00FC688D">
        <w:rPr>
          <w:rFonts w:cstheme="minorHAnsi"/>
          <w:sz w:val="20"/>
          <w:szCs w:val="20"/>
        </w:rPr>
        <w:t>Puhl</w:t>
      </w:r>
      <w:proofErr w:type="spellEnd"/>
      <w:r w:rsidRPr="00FC688D">
        <w:rPr>
          <w:rFonts w:cstheme="minorHAnsi"/>
          <w:sz w:val="20"/>
          <w:szCs w:val="20"/>
        </w:rPr>
        <w:t xml:space="preserve"> RM, </w:t>
      </w:r>
      <w:proofErr w:type="spellStart"/>
      <w:r w:rsidRPr="00FC688D">
        <w:rPr>
          <w:rFonts w:cstheme="minorHAnsi"/>
          <w:sz w:val="20"/>
          <w:szCs w:val="20"/>
        </w:rPr>
        <w:t>Latner</w:t>
      </w:r>
      <w:proofErr w:type="spellEnd"/>
      <w:r w:rsidRPr="00FC688D">
        <w:rPr>
          <w:rFonts w:cstheme="minorHAnsi"/>
          <w:sz w:val="20"/>
          <w:szCs w:val="20"/>
        </w:rPr>
        <w:t xml:space="preserve"> JD, Mir AS, Hunter JA</w:t>
      </w:r>
      <w:r w:rsidRPr="00FC688D">
        <w:rPr>
          <w:rFonts w:cstheme="minorHAnsi"/>
          <w:sz w:val="20"/>
          <w:szCs w:val="20"/>
        </w:rPr>
        <w:t>. Reducing anti-fat prejudice in preservice health students: a randomized trial. Obesity (Silver Spring) </w:t>
      </w:r>
      <w:proofErr w:type="gramStart"/>
      <w:r w:rsidRPr="00FC688D">
        <w:rPr>
          <w:rFonts w:cstheme="minorHAnsi"/>
          <w:sz w:val="20"/>
          <w:szCs w:val="20"/>
        </w:rPr>
        <w:t>2010;18:2138</w:t>
      </w:r>
      <w:proofErr w:type="gramEnd"/>
      <w:r w:rsidRPr="00FC688D">
        <w:rPr>
          <w:rFonts w:cstheme="minorHAnsi"/>
          <w:sz w:val="20"/>
          <w:szCs w:val="20"/>
        </w:rPr>
        <w:t>–2144</w:t>
      </w:r>
      <w:r w:rsidR="00FC688D" w:rsidRPr="00FC688D">
        <w:rPr>
          <w:rFonts w:cstheme="minorHAnsi"/>
          <w:sz w:val="20"/>
          <w:szCs w:val="20"/>
        </w:rPr>
        <w:t>.</w:t>
      </w:r>
    </w:p>
    <w:p w:rsidR="00296689" w:rsidRDefault="00296689"/>
    <w:sectPr w:rsidR="0029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4F2"/>
    <w:multiLevelType w:val="hybridMultilevel"/>
    <w:tmpl w:val="996C6280"/>
    <w:lvl w:ilvl="0" w:tplc="4BC4F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6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C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8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E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0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0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E0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CB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5519B1"/>
    <w:multiLevelType w:val="hybridMultilevel"/>
    <w:tmpl w:val="BE08BC2A"/>
    <w:lvl w:ilvl="0" w:tplc="11B4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E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A4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A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A0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6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C6632"/>
    <w:multiLevelType w:val="hybridMultilevel"/>
    <w:tmpl w:val="8CBEC90A"/>
    <w:lvl w:ilvl="0" w:tplc="F896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A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B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4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0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0A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2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80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04CB1"/>
    <w:multiLevelType w:val="hybridMultilevel"/>
    <w:tmpl w:val="D4008D8A"/>
    <w:lvl w:ilvl="0" w:tplc="5592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0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41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A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88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F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2D6AAD"/>
    <w:multiLevelType w:val="hybridMultilevel"/>
    <w:tmpl w:val="59FA3EBA"/>
    <w:lvl w:ilvl="0" w:tplc="B8C0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62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A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E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26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E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097BF5"/>
    <w:multiLevelType w:val="hybridMultilevel"/>
    <w:tmpl w:val="8EA4979A"/>
    <w:lvl w:ilvl="0" w:tplc="86FC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0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C2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E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6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6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6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AE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5844D2"/>
    <w:multiLevelType w:val="hybridMultilevel"/>
    <w:tmpl w:val="E32C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84867"/>
    <w:multiLevelType w:val="hybridMultilevel"/>
    <w:tmpl w:val="AE0C9A10"/>
    <w:lvl w:ilvl="0" w:tplc="F1DE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6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C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8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6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8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89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89"/>
    <w:rsid w:val="00296689"/>
    <w:rsid w:val="004F54A7"/>
    <w:rsid w:val="0056577B"/>
    <w:rsid w:val="00AA24CF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F06D"/>
  <w15:chartTrackingRefBased/>
  <w15:docId w15:val="{B639008B-F162-4608-9FD0-2ED08C08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6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99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2/oby.20963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 R</dc:creator>
  <cp:keywords/>
  <dc:description/>
  <cp:lastModifiedBy>Phillips, Jill R</cp:lastModifiedBy>
  <cp:revision>3</cp:revision>
  <dcterms:created xsi:type="dcterms:W3CDTF">2020-11-25T00:41:00Z</dcterms:created>
  <dcterms:modified xsi:type="dcterms:W3CDTF">2020-11-25T00:59:00Z</dcterms:modified>
</cp:coreProperties>
</file>