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bookmarkStart w:id="0" w:name="_GoBack"/>
      <w:bookmarkEnd w:id="0"/>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Neurosurgery M</w:t>
      </w:r>
      <w:r w:rsidRPr="00FD239D" w:rsidR="004D5DAE">
        <w:rPr>
          <w:rFonts w:ascii="Arial" w:hAnsi="Arial"/>
          <w:color w:val="800000"/>
          <w:sz w:val="28"/>
          <w:szCs w:val="28"/>
        </w:rPr>
        <w:t>&amp;M Conference</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EventStart \* MERGEFORMAT </w:instrText>
      </w:r>
      <w:r w:rsidRPr="00AE7301" w:rsidR="00CC477A">
        <w:rPr>
          <w:rFonts w:ascii="Arial" w:hAnsi="Arial"/>
          <w:sz w:val="28"/>
          <w:szCs w:val="28"/>
        </w:rPr>
        <w:fldChar w:fldCharType="separate"/>
      </w:r>
      <w:r w:rsidRPr="00AE7301">
        <w:rPr>
          <w:rFonts w:ascii="Arial" w:hAnsi="Arial"/>
          <w:noProof/>
          <w:sz w:val="28"/>
          <w:szCs w:val="28"/>
        </w:rPr>
        <w:t>«EventStart»</w:t>
      </w:r>
      <w:r w:rsidRPr="00AE7301" w:rsidR="00CC477A">
        <w:rPr>
          <w:rFonts w:ascii="Arial" w:hAnsi="Arial"/>
          <w:noProof/>
          <w:sz w:val="28"/>
          <w:szCs w:val="28"/>
        </w:rPr>
        <w:fldChar w:fldCharType="end"/>
      </w:r>
      <w:r w:rsidRPr="00AE7301">
        <w:rPr>
          <w:rFonts w:ascii="Arial" w:hAnsi="Arial"/>
          <w:noProof/>
          <w:sz w:val="28"/>
          <w:szCs w:val="28"/>
        </w:rPr>
        <w:t xml:space="preserve"> </w:t>
      </w:r>
      <w:r w:rsidRPr="00AE7301">
        <w:rPr>
          <w:rFonts w:ascii="Arial" w:hAnsi="Arial"/>
          <w:noProof/>
          <w:sz w:val="28"/>
          <w:szCs w:val="28"/>
        </w:rPr>
        <w:t>Goodman Hall</w:t>
      </w:r>
      <w:r w:rsidRPr="00AE7301" w:rsidR="00CC477A">
        <w:rPr>
          <w:rFonts w:ascii="Arial" w:hAnsi="Arial"/>
          <w:sz w:val="28"/>
          <w:szCs w:val="28"/>
        </w:rPr>
        <w:t xml:space="preserve"> (GH), Indianapolis</w:t>
      </w:r>
      <w:r w:rsidRPr="00AE7301">
        <w:rPr>
          <w:rFonts w:ascii="Arial" w:hAnsi="Arial"/>
          <w:noProo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EventState \* MERGEFORMAT </w:instrText>
      </w:r>
      <w:r w:rsidRPr="00AE7301" w:rsidR="00CC477A">
        <w:rPr>
          <w:rFonts w:ascii="Arial" w:hAnsi="Arial"/>
          <w:sz w:val="28"/>
          <w:szCs w:val="28"/>
        </w:rPr>
        <w:fldChar w:fldCharType="separate"/>
      </w:r>
      <w:r w:rsidRPr="00AE7301">
        <w:rPr>
          <w:rFonts w:ascii="Arial" w:hAnsi="Arial"/>
          <w:noProof/>
          <w:sz w:val="28"/>
          <w:szCs w:val="28"/>
        </w:rPr>
        <w:t>«EventState»</w:t>
      </w:r>
      <w:r w:rsidRPr="00AE7301" w:rsidR="00CC477A">
        <w:rPr>
          <w:rFonts w:ascii="Arial" w:hAnsi="Arial"/>
          <w:noProof/>
          <w:sz w:val="28"/>
          <w:szCs w:val="28"/>
        </w:rPr>
        <w:fldChar w:fldCharType="end"/>
      </w:r>
    </w:p>
    <w:p w:rsidR="00993B4D" w:rsidP="006A623D">
      <w:pPr>
        <w:spacing w:line="240" w:lineRule="auto"/>
        <w:rPr>
          <w:rFonts w:ascii="Arial" w:hAnsi="Arial"/>
          <w:color w:val="000000" w:themeColor="text1"/>
          <w:sz w:val="24"/>
          <w:szCs w:val="24"/>
        </w:rPr>
      </w:pPr>
      <w:r>
        <w:fldChar w:fldCharType="begin"/>
      </w:r>
      <w:r>
        <w:instrText xml:space="preserve"> MERGEFIELD Description \* MERGEFORMAT </w:instrText>
      </w:r>
      <w:r>
        <w:fldChar w:fldCharType="separate"/>
      </w:r>
      <w:r>
        <w:rPr>
          <w:rFonts w:ascii="Arial" w:hAnsi="Arial"/>
          <w:noProof/>
          <w:color w:val="000000" w:themeColor="text1"/>
          <w:sz w:val="24"/>
          <w:szCs w:val="24"/>
        </w:rPr>
        <w:t>«Description»</w:t>
      </w:r>
      <w:r>
        <w:rPr>
          <w:rFonts w:ascii="Arial" w:hAnsi="Arial"/>
          <w:noProof/>
          <w:color w:val="000000" w:themeColor="text1"/>
          <w:sz w:val="24"/>
          <w:szCs w:val="24"/>
        </w:rPr>
        <w:fldChar w:fldCharType="end"/>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Neurology</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fldChar w:fldCharType="begin"/>
      </w:r>
      <w:r>
        <w:instrText xml:space="preserve"> MERGEFIELD Faculty \* MERGEFORMAT </w:instrText>
      </w:r>
      <w:r>
        <w:fldChar w:fldCharType="separate"/>
      </w:r>
      <w:r>
        <w:rPr>
          <w:rFonts w:ascii="Arial" w:hAnsi="Arial" w:cs="Arial"/>
          <w:noProof/>
          <w:sz w:val="24"/>
          <w:szCs w:val="24"/>
        </w:rPr>
        <w:t>«Faculty»</w:t>
      </w:r>
      <w:r>
        <w:rPr>
          <w:rFonts w:ascii="Arial" w:hAnsi="Arial" w:cs="Arial"/>
          <w:noProof/>
          <w:sz w:val="24"/>
          <w:szCs w:val="24"/>
        </w:rPr>
        <w:fldChar w:fldCharType="end"/>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fldChar w:fldCharType="begin"/>
      </w:r>
      <w:r>
        <w:instrText xml:space="preserve"> MERGEFIELD Misc \* MERGEFORMAT </w:instrText>
      </w:r>
      <w:r>
        <w:fldChar w:fldCharType="separate"/>
      </w:r>
      <w:r>
        <w:rPr>
          <w:rFonts w:ascii="Arial" w:hAnsi="Arial" w:cs="Arial"/>
          <w:noProof/>
          <w:sz w:val="24"/>
          <w:szCs w:val="24"/>
        </w:rPr>
        <w:t>«Misc»</w:t>
      </w:r>
      <w:r>
        <w:rPr>
          <w:rFonts w:ascii="Arial" w:hAnsi="Arial" w:cs="Arial"/>
          <w:noProof/>
          <w:sz w:val="24"/>
          <w:szCs w:val="24"/>
        </w:rPr>
        <w:fldChar w:fldCharType="end"/>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r w:rsidRPr="00754C29">
        <w:rPr>
          <w:rFonts w:ascii="Arial" w:hAnsi="Arial" w:cs="Arial"/>
          <w:sz w:val="20"/>
          <w:szCs w:val="20"/>
        </w:rPr>
        <w:t xml:space="preserve">designates this educational activity for a maximum of </w:t>
      </w:r>
      <w:r>
        <w:fldChar w:fldCharType="begin"/>
      </w:r>
      <w:r>
        <w:instrText xml:space="preserve"> MERGEFIELD CreditHours \* MERGEFORMAT </w:instrText>
      </w:r>
      <w:r>
        <w:fldChar w:fldCharType="separate"/>
      </w:r>
      <w:r>
        <w:rPr>
          <w:rFonts w:ascii="Arial" w:hAnsi="Arial" w:cs="Arial"/>
          <w:noProof/>
        </w:rPr>
        <w:t>«CreditHours»</w:t>
      </w:r>
      <w:r>
        <w:rPr>
          <w:rFonts w:ascii="Arial" w:hAnsi="Arial" w:cs="Arial"/>
          <w:noProof/>
        </w:rPr>
        <w:fldChar w:fldCharType="end"/>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rrodgers@goodmancampbell</w:t>
      </w:r>
      <w:r>
        <w:rPr>
          <w:rFonts w:ascii="Arial" w:hAnsi="Arial" w:cs="Arial"/>
          <w:noProof/>
          <w:sz w:val="24"/>
          <w:szCs w:val="24"/>
        </w:rPr>
        <w:t>.com</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2</cp:revision>
  <dcterms:created xsi:type="dcterms:W3CDTF">2018-06-15T20:07:00Z</dcterms:created>
  <dcterms:modified xsi:type="dcterms:W3CDTF">2018-06-15T20:07:00Z</dcterms:modified>
</cp:coreProperties>
</file>